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E0" w:rsidRPr="00A37DD5" w:rsidRDefault="00F11D46">
      <w:pPr>
        <w:rPr>
          <w:b/>
          <w:lang w:val="en-US"/>
        </w:rPr>
      </w:pPr>
      <w:r w:rsidRPr="00A37DD5">
        <w:rPr>
          <w:b/>
          <w:lang w:val="en-US"/>
        </w:rPr>
        <w:t>1. Purpose</w:t>
      </w:r>
    </w:p>
    <w:p w:rsidR="00F11D46" w:rsidRDefault="00A37DD5">
      <w:pPr>
        <w:rPr>
          <w:lang w:val="en-US"/>
        </w:rPr>
      </w:pPr>
      <w:r w:rsidRPr="00A37DD5">
        <w:rPr>
          <w:lang w:val="en-US"/>
        </w:rPr>
        <w:t>The purpose of this procedure; To explain the rules and procedures regarding the monitoring and evaluation of the performance of the lead auditors, audito</w:t>
      </w:r>
      <w:r>
        <w:rPr>
          <w:lang w:val="en-US"/>
        </w:rPr>
        <w:t>rs, technical experts, case</w:t>
      </w:r>
      <w:r w:rsidRPr="00A37DD5">
        <w:rPr>
          <w:lang w:val="en-US"/>
        </w:rPr>
        <w:t xml:space="preserve"> officers and accreditation decision </w:t>
      </w:r>
      <w:r w:rsidR="00FA365E">
        <w:rPr>
          <w:lang w:val="en-US"/>
        </w:rPr>
        <w:t>committee</w:t>
      </w:r>
      <w:r w:rsidR="008C104D">
        <w:rPr>
          <w:lang w:val="en-US"/>
        </w:rPr>
        <w:t xml:space="preserve"> assigned by the </w:t>
      </w:r>
      <w:r w:rsidR="000243D2">
        <w:rPr>
          <w:lang w:val="en-US"/>
        </w:rPr>
        <w:t>IRNAC</w:t>
      </w:r>
      <w:r w:rsidRPr="00A37DD5">
        <w:rPr>
          <w:lang w:val="en-US"/>
        </w:rPr>
        <w:t xml:space="preserve"> during the accreditation process.</w:t>
      </w:r>
    </w:p>
    <w:p w:rsidR="001B3AE0" w:rsidRDefault="001B3AE0">
      <w:pPr>
        <w:rPr>
          <w:lang w:val="en-US"/>
        </w:rPr>
      </w:pPr>
    </w:p>
    <w:p w:rsidR="001B3AE0" w:rsidRPr="00D84AF3" w:rsidRDefault="00D84AF3">
      <w:pPr>
        <w:rPr>
          <w:b/>
          <w:lang w:val="en-US"/>
        </w:rPr>
      </w:pPr>
      <w:r w:rsidRPr="00D84AF3">
        <w:rPr>
          <w:b/>
          <w:lang w:val="en-US"/>
        </w:rPr>
        <w:t>2. Scope</w:t>
      </w:r>
    </w:p>
    <w:p w:rsidR="00D84AF3" w:rsidRDefault="00511B84">
      <w:pPr>
        <w:rPr>
          <w:lang w:val="en-US"/>
        </w:rPr>
      </w:pPr>
      <w:r w:rsidRPr="00511B84">
        <w:rPr>
          <w:lang w:val="en-US"/>
        </w:rPr>
        <w:t>This proc</w:t>
      </w:r>
      <w:r>
        <w:rPr>
          <w:lang w:val="en-US"/>
        </w:rPr>
        <w:t xml:space="preserve">edure; It includes </w:t>
      </w:r>
      <w:r w:rsidR="000243D2">
        <w:rPr>
          <w:lang w:val="en-US"/>
        </w:rPr>
        <w:t>IRNAC</w:t>
      </w:r>
      <w:r w:rsidR="008C104D">
        <w:rPr>
          <w:lang w:val="en-US"/>
        </w:rPr>
        <w:t xml:space="preserve"> </w:t>
      </w:r>
      <w:r>
        <w:rPr>
          <w:lang w:val="en-US"/>
        </w:rPr>
        <w:t>case</w:t>
      </w:r>
      <w:r w:rsidRPr="00511B84">
        <w:rPr>
          <w:lang w:val="en-US"/>
        </w:rPr>
        <w:t xml:space="preserve"> office</w:t>
      </w:r>
      <w:r w:rsidR="00215FE7">
        <w:rPr>
          <w:lang w:val="en-US"/>
        </w:rPr>
        <w:t xml:space="preserve">rs, accreditation decision </w:t>
      </w:r>
      <w:r w:rsidR="00FA365E">
        <w:rPr>
          <w:lang w:val="en-US"/>
        </w:rPr>
        <w:t>committee</w:t>
      </w:r>
      <w:r w:rsidRPr="00511B84">
        <w:rPr>
          <w:lang w:val="en-US"/>
        </w:rPr>
        <w:t xml:space="preserve"> members and lead auditors, auditors, technical experts assigned to audits.</w:t>
      </w:r>
    </w:p>
    <w:p w:rsidR="00511B84" w:rsidRDefault="00511B84">
      <w:pPr>
        <w:rPr>
          <w:lang w:val="en-US"/>
        </w:rPr>
      </w:pPr>
    </w:p>
    <w:p w:rsidR="00003880" w:rsidRPr="00003880" w:rsidRDefault="00003880" w:rsidP="00003880">
      <w:pPr>
        <w:rPr>
          <w:b/>
          <w:lang w:val="en-US"/>
        </w:rPr>
      </w:pPr>
      <w:r w:rsidRPr="00003880">
        <w:rPr>
          <w:b/>
          <w:lang w:val="en-US"/>
        </w:rPr>
        <w:t>3. Definitions</w:t>
      </w:r>
    </w:p>
    <w:p w:rsidR="00511B84" w:rsidRDefault="00003880" w:rsidP="00003880">
      <w:pPr>
        <w:rPr>
          <w:lang w:val="en-US"/>
        </w:rPr>
      </w:pPr>
      <w:r w:rsidRPr="00003880">
        <w:rPr>
          <w:lang w:val="en-US"/>
        </w:rPr>
        <w:t xml:space="preserve">Definitions related to this procedure are given in the </w:t>
      </w:r>
      <w:r w:rsidR="00883929">
        <w:rPr>
          <w:lang w:val="en-US"/>
        </w:rPr>
        <w:t>IRNAC</w:t>
      </w:r>
      <w:r w:rsidR="008C104D">
        <w:rPr>
          <w:lang w:val="en-US"/>
        </w:rPr>
        <w:t>-IN-</w:t>
      </w:r>
      <w:r w:rsidRPr="00003880">
        <w:rPr>
          <w:lang w:val="en-US"/>
        </w:rPr>
        <w:t xml:space="preserve">01 Instructions on Terms and Definitions Used in </w:t>
      </w:r>
      <w:r w:rsidR="000243D2">
        <w:rPr>
          <w:lang w:val="en-US"/>
        </w:rPr>
        <w:t>IRNAC</w:t>
      </w:r>
      <w:r w:rsidR="008C104D">
        <w:rPr>
          <w:lang w:val="en-US"/>
        </w:rPr>
        <w:t xml:space="preserve"> </w:t>
      </w:r>
      <w:r w:rsidRPr="00003880">
        <w:rPr>
          <w:lang w:val="en-US"/>
        </w:rPr>
        <w:t>Documentation.</w:t>
      </w:r>
    </w:p>
    <w:p w:rsidR="00AE6D96" w:rsidRDefault="00AE6D96" w:rsidP="00003880">
      <w:pPr>
        <w:rPr>
          <w:lang w:val="en-US"/>
        </w:rPr>
      </w:pPr>
    </w:p>
    <w:p w:rsidR="00E42FC3" w:rsidRPr="003175A2" w:rsidRDefault="003175A2" w:rsidP="00003880">
      <w:pPr>
        <w:rPr>
          <w:b/>
          <w:lang w:val="en-US"/>
        </w:rPr>
      </w:pPr>
      <w:r w:rsidRPr="003175A2">
        <w:rPr>
          <w:b/>
          <w:lang w:val="en-US"/>
        </w:rPr>
        <w:t>4. Related Documents</w:t>
      </w:r>
    </w:p>
    <w:p w:rsidR="003175A2" w:rsidRDefault="00883929" w:rsidP="00003880">
      <w:pPr>
        <w:rPr>
          <w:lang w:val="en-US"/>
        </w:rPr>
      </w:pPr>
      <w:r>
        <w:rPr>
          <w:lang w:val="en-US"/>
        </w:rPr>
        <w:t>IRNAC</w:t>
      </w:r>
      <w:r w:rsidR="008C104D">
        <w:rPr>
          <w:lang w:val="en-US"/>
        </w:rPr>
        <w:t>-G-</w:t>
      </w:r>
      <w:r w:rsidR="00FA365E" w:rsidRPr="00FA365E">
        <w:rPr>
          <w:lang w:val="en-US"/>
        </w:rPr>
        <w:t>34 Job Description and Organization Chart Guideline</w:t>
      </w:r>
    </w:p>
    <w:p w:rsidR="005B4826" w:rsidRDefault="005B4826" w:rsidP="00003880">
      <w:pPr>
        <w:rPr>
          <w:lang w:val="en-US"/>
        </w:rPr>
      </w:pPr>
    </w:p>
    <w:p w:rsidR="005B4826" w:rsidRPr="005B4826" w:rsidRDefault="005B4826" w:rsidP="00003880">
      <w:pPr>
        <w:rPr>
          <w:b/>
          <w:lang w:val="en-US"/>
        </w:rPr>
      </w:pPr>
      <w:r w:rsidRPr="005B4826">
        <w:rPr>
          <w:b/>
          <w:lang w:val="en-US"/>
        </w:rPr>
        <w:t>5. Implementation</w:t>
      </w:r>
    </w:p>
    <w:p w:rsidR="005B4826" w:rsidRDefault="000243D2" w:rsidP="00003880">
      <w:pPr>
        <w:rPr>
          <w:lang w:val="en-US"/>
        </w:rPr>
      </w:pPr>
      <w:r>
        <w:rPr>
          <w:lang w:val="en-US"/>
        </w:rPr>
        <w:t>IRNAC</w:t>
      </w:r>
      <w:r w:rsidR="006B24E1" w:rsidRPr="006B24E1">
        <w:rPr>
          <w:lang w:val="en-US"/>
        </w:rPr>
        <w:t>; The accreditation decision committee responsible for taking accreditation decisions has established and maintains a performance monitoring system to ensure and maintain the competence of the personnel assigned in charge of the file and the permanent or part-time contracted auditors/technical experts.</w:t>
      </w:r>
    </w:p>
    <w:p w:rsidR="00042BE3" w:rsidRDefault="000D2AEE" w:rsidP="00003880">
      <w:pPr>
        <w:rPr>
          <w:lang w:val="en-US"/>
        </w:rPr>
      </w:pPr>
      <w:r w:rsidRPr="000D2AEE">
        <w:rPr>
          <w:lang w:val="en-US"/>
        </w:rPr>
        <w:t>5.1 Monitoring Criteria for Auditors, Te</w:t>
      </w:r>
      <w:r>
        <w:rPr>
          <w:lang w:val="en-US"/>
        </w:rPr>
        <w:t>chnical Experts and Case</w:t>
      </w:r>
      <w:r w:rsidRPr="000D2AEE">
        <w:rPr>
          <w:lang w:val="en-US"/>
        </w:rPr>
        <w:t xml:space="preserve"> Officers</w:t>
      </w:r>
    </w:p>
    <w:p w:rsidR="000D2AEE" w:rsidRDefault="000D26DB" w:rsidP="00003880">
      <w:pPr>
        <w:rPr>
          <w:lang w:val="en-US"/>
        </w:rPr>
      </w:pPr>
      <w:r w:rsidRPr="000D26DB">
        <w:rPr>
          <w:lang w:val="en-US"/>
        </w:rPr>
        <w:t>The methods specified in Table 1 are applied for the monitoring or supervision of trainee auditor candidates, auditors, technical experts and technical responsible who have completed auditor training.</w:t>
      </w:r>
    </w:p>
    <w:p w:rsidR="000D26DB" w:rsidRDefault="00FC788B" w:rsidP="00003880">
      <w:pPr>
        <w:rPr>
          <w:lang w:val="en-US"/>
        </w:rPr>
      </w:pPr>
      <w:r w:rsidRPr="00FC788B">
        <w:rPr>
          <w:lang w:val="en-US"/>
        </w:rPr>
        <w:t xml:space="preserve">5.1.1 </w:t>
      </w:r>
      <w:r w:rsidR="000243D2">
        <w:rPr>
          <w:lang w:val="en-US"/>
        </w:rPr>
        <w:t>IRNAC</w:t>
      </w:r>
      <w:r w:rsidR="008C104D">
        <w:rPr>
          <w:lang w:val="en-US"/>
        </w:rPr>
        <w:t xml:space="preserve"> </w:t>
      </w:r>
      <w:r w:rsidRPr="00FC788B">
        <w:rPr>
          <w:lang w:val="en-US"/>
        </w:rPr>
        <w:t>Monitoring of Audit Team Members</w:t>
      </w:r>
    </w:p>
    <w:p w:rsidR="00FC788B" w:rsidRDefault="00F56FC3" w:rsidP="00003880">
      <w:pPr>
        <w:rPr>
          <w:lang w:val="en-US"/>
        </w:rPr>
      </w:pPr>
      <w:r w:rsidRPr="00F56FC3">
        <w:rPr>
          <w:lang w:val="en-US"/>
        </w:rPr>
        <w:t>Auditors and technical experts should have appropriate technical and professional qualifications. In addition, auditors must have sufficient experience and experience for auditing.</w:t>
      </w:r>
    </w:p>
    <w:p w:rsidR="006C1189" w:rsidRDefault="006C1189" w:rsidP="00003880">
      <w:pPr>
        <w:rPr>
          <w:lang w:val="en-US"/>
        </w:rPr>
      </w:pPr>
      <w:r w:rsidRPr="006C1189">
        <w:rPr>
          <w:lang w:val="en-US"/>
        </w:rPr>
        <w:t xml:space="preserve">The </w:t>
      </w:r>
      <w:r w:rsidR="000243D2">
        <w:rPr>
          <w:lang w:val="en-US"/>
        </w:rPr>
        <w:t>IRNAC</w:t>
      </w:r>
      <w:r w:rsidR="008C104D">
        <w:rPr>
          <w:lang w:val="en-US"/>
        </w:rPr>
        <w:t xml:space="preserve"> </w:t>
      </w:r>
      <w:r w:rsidRPr="006C1189">
        <w:rPr>
          <w:lang w:val="en-US"/>
        </w:rPr>
        <w:t xml:space="preserve">takes into account the criteria specified in the relevant form in Table 1, in order to monitor the performance of auditors and technical experts and to evaluate the information obtained as a result of this monitoring. The process of monitoring and evaluating the performance of auditors and technical experts starts from the moment they are assigned and continues until the accreditation </w:t>
      </w:r>
      <w:r w:rsidRPr="006C1189">
        <w:rPr>
          <w:lang w:val="en-US"/>
        </w:rPr>
        <w:lastRenderedPageBreak/>
        <w:t>proposal made by the audit team. This monitoring activity mentioned above is carried out and reported by the evaluator appointed by the</w:t>
      </w:r>
      <w:r w:rsidR="008C104D">
        <w:rPr>
          <w:lang w:val="en-US"/>
        </w:rPr>
        <w:t xml:space="preserve"> </w:t>
      </w:r>
      <w:r w:rsidR="000243D2">
        <w:rPr>
          <w:lang w:val="en-US"/>
        </w:rPr>
        <w:t>IRNAC</w:t>
      </w:r>
    </w:p>
    <w:p w:rsidR="00986D14" w:rsidRPr="00986D14" w:rsidRDefault="00986D14" w:rsidP="00986D14">
      <w:pPr>
        <w:rPr>
          <w:lang w:val="en-US"/>
        </w:rPr>
      </w:pPr>
      <w:r w:rsidRPr="00986D14">
        <w:rPr>
          <w:lang w:val="en-US"/>
        </w:rPr>
        <w:t xml:space="preserve">In addition, </w:t>
      </w:r>
      <w:r w:rsidR="000243D2">
        <w:rPr>
          <w:lang w:val="en-US"/>
        </w:rPr>
        <w:t>IRNAC</w:t>
      </w:r>
      <w:r w:rsidR="008C104D">
        <w:rPr>
          <w:lang w:val="en-US"/>
        </w:rPr>
        <w:t xml:space="preserve"> </w:t>
      </w:r>
      <w:r w:rsidRPr="00986D14">
        <w:rPr>
          <w:lang w:val="en-US"/>
        </w:rPr>
        <w:t xml:space="preserve">lead auditors are appointed by an </w:t>
      </w:r>
      <w:r w:rsidR="000243D2">
        <w:rPr>
          <w:lang w:val="en-US"/>
        </w:rPr>
        <w:t>IRNAC</w:t>
      </w:r>
      <w:r w:rsidR="008C104D">
        <w:rPr>
          <w:lang w:val="en-US"/>
        </w:rPr>
        <w:t xml:space="preserve"> </w:t>
      </w:r>
      <w:r w:rsidRPr="00986D14">
        <w:rPr>
          <w:lang w:val="en-US"/>
        </w:rPr>
        <w:t>staff member with lead auditor status (preferably technical officers with lead auditor status) using the relevant form in Table 1.</w:t>
      </w:r>
    </w:p>
    <w:p w:rsidR="00986D14" w:rsidRPr="00986D14" w:rsidRDefault="00986D14" w:rsidP="00986D14">
      <w:pPr>
        <w:rPr>
          <w:lang w:val="en-US"/>
        </w:rPr>
      </w:pPr>
      <w:r w:rsidRPr="00986D14">
        <w:rPr>
          <w:lang w:val="en-US"/>
        </w:rPr>
        <w:t xml:space="preserve">• </w:t>
      </w:r>
      <w:proofErr w:type="gramStart"/>
      <w:r w:rsidRPr="00986D14">
        <w:rPr>
          <w:lang w:val="en-US"/>
        </w:rPr>
        <w:t>at</w:t>
      </w:r>
      <w:proofErr w:type="gramEnd"/>
      <w:r w:rsidRPr="00986D14">
        <w:rPr>
          <w:lang w:val="en-US"/>
        </w:rPr>
        <w:t xml:space="preserve"> least once every three years in at least one of the different standards audits in category A</w:t>
      </w:r>
    </w:p>
    <w:p w:rsidR="00B24A5F" w:rsidRDefault="00986D14" w:rsidP="00986D14">
      <w:pPr>
        <w:rPr>
          <w:lang w:val="en-US"/>
        </w:rPr>
      </w:pPr>
      <w:r w:rsidRPr="00986D14">
        <w:rPr>
          <w:lang w:val="en-US"/>
        </w:rPr>
        <w:t>• Its performance is evaluated by being observed at least once every three years in at least one of the different standard audits in category B.</w:t>
      </w:r>
    </w:p>
    <w:p w:rsidR="00986D14" w:rsidRDefault="00A87DC0" w:rsidP="00986D14">
      <w:pPr>
        <w:rPr>
          <w:lang w:val="en-US"/>
        </w:rPr>
      </w:pPr>
      <w:r w:rsidRPr="00A87DC0">
        <w:rPr>
          <w:lang w:val="en-US"/>
        </w:rPr>
        <w:t>5.1.2 Monitoring of the Audit Team by the Audited Entity</w:t>
      </w:r>
    </w:p>
    <w:p w:rsidR="00A87DC0" w:rsidRDefault="000243D2" w:rsidP="00986D14">
      <w:pPr>
        <w:rPr>
          <w:lang w:val="en-US"/>
        </w:rPr>
      </w:pPr>
      <w:r>
        <w:rPr>
          <w:lang w:val="en-US"/>
        </w:rPr>
        <w:t>IRNAC</w:t>
      </w:r>
      <w:r w:rsidR="008C104D">
        <w:rPr>
          <w:lang w:val="en-US"/>
        </w:rPr>
        <w:t xml:space="preserve"> </w:t>
      </w:r>
      <w:r w:rsidR="00BC3992" w:rsidRPr="00BC3992">
        <w:rPr>
          <w:lang w:val="en-US"/>
        </w:rPr>
        <w:t xml:space="preserve">monitors the technical competence of the auditors/technical experts, their knowledge of the relevant accreditation standards, their oral and written presentation skills, as well as their attitudes and behaviors. The </w:t>
      </w:r>
      <w:r>
        <w:rPr>
          <w:lang w:val="en-US"/>
        </w:rPr>
        <w:t>IRNAC</w:t>
      </w:r>
      <w:r w:rsidR="008C104D">
        <w:rPr>
          <w:lang w:val="en-US"/>
        </w:rPr>
        <w:t xml:space="preserve"> </w:t>
      </w:r>
      <w:r w:rsidR="00BC3992" w:rsidRPr="00BC3992">
        <w:rPr>
          <w:lang w:val="en-US"/>
        </w:rPr>
        <w:t>information system sends the relevant form in Table 1 to the CAB official for evaluation of the audit team after each audit organized by the</w:t>
      </w:r>
      <w:r w:rsidR="008B1CC6">
        <w:rPr>
          <w:lang w:val="en-US"/>
        </w:rPr>
        <w:t xml:space="preserve"> </w:t>
      </w:r>
      <w:bookmarkStart w:id="0" w:name="_GoBack"/>
      <w:bookmarkEnd w:id="0"/>
      <w:r>
        <w:rPr>
          <w:lang w:val="en-US"/>
        </w:rPr>
        <w:t>IRNAC</w:t>
      </w:r>
    </w:p>
    <w:p w:rsidR="00BC3992" w:rsidRDefault="005D6EB6" w:rsidP="00986D14">
      <w:pPr>
        <w:rPr>
          <w:lang w:val="en-US"/>
        </w:rPr>
      </w:pPr>
      <w:r w:rsidRPr="005D6EB6">
        <w:rPr>
          <w:lang w:val="en-US"/>
        </w:rPr>
        <w:t xml:space="preserve">5.1.3 Monitoring of Auditors and Technical Experts </w:t>
      </w:r>
      <w:proofErr w:type="gramStart"/>
      <w:r w:rsidRPr="005D6EB6">
        <w:rPr>
          <w:lang w:val="en-US"/>
        </w:rPr>
        <w:t>During</w:t>
      </w:r>
      <w:proofErr w:type="gramEnd"/>
      <w:r w:rsidRPr="005D6EB6">
        <w:rPr>
          <w:lang w:val="en-US"/>
        </w:rPr>
        <w:t xml:space="preserve"> Audit</w:t>
      </w:r>
    </w:p>
    <w:p w:rsidR="005D6EB6" w:rsidRDefault="000243D2" w:rsidP="00986D14">
      <w:pPr>
        <w:rPr>
          <w:lang w:val="en-US"/>
        </w:rPr>
      </w:pPr>
      <w:r>
        <w:rPr>
          <w:lang w:val="en-US"/>
        </w:rPr>
        <w:t>IRNAC</w:t>
      </w:r>
      <w:r w:rsidR="008C104D">
        <w:rPr>
          <w:lang w:val="en-US"/>
        </w:rPr>
        <w:t xml:space="preserve"> </w:t>
      </w:r>
      <w:r w:rsidR="00362191" w:rsidRPr="00362191">
        <w:rPr>
          <w:lang w:val="en-US"/>
        </w:rPr>
        <w:t>also does the necessary work on monitoring and evaluation of the auditors/technical experts it has assigned during the audit. During the audit, the auditors/technical experts are evaluated by the lead auditor. The purpose of this application during the audit is to determine the technical competencies of the auditors and technical experts and the competence of the auditors on the accreditation rules, as well as their human aspects, namely their ability to make healthy decisions, impartiality, communication, work in a team, work under pressure, and maintain determination and</w:t>
      </w:r>
      <w:r w:rsidR="00362191">
        <w:rPr>
          <w:lang w:val="en-US"/>
        </w:rPr>
        <w:t xml:space="preserve"> self-confidence when </w:t>
      </w:r>
      <w:proofErr w:type="gramStart"/>
      <w:r w:rsidR="00362191">
        <w:rPr>
          <w:lang w:val="en-US"/>
        </w:rPr>
        <w:t xml:space="preserve">necessary </w:t>
      </w:r>
      <w:r w:rsidR="00362191" w:rsidRPr="00362191">
        <w:rPr>
          <w:lang w:val="en-US"/>
        </w:rPr>
        <w:t xml:space="preserve"> is</w:t>
      </w:r>
      <w:proofErr w:type="gramEnd"/>
      <w:r w:rsidR="00362191" w:rsidRPr="00362191">
        <w:rPr>
          <w:lang w:val="en-US"/>
        </w:rPr>
        <w:t xml:space="preserve"> to carry out work to eliminate the detected nonconformities. The relevant form in Table 1 is used to monitor auditors and technical experts.</w:t>
      </w:r>
    </w:p>
    <w:p w:rsidR="00CA4783" w:rsidRDefault="009954D5" w:rsidP="00986D14">
      <w:pPr>
        <w:rPr>
          <w:lang w:val="en-US"/>
        </w:rPr>
      </w:pPr>
      <w:r w:rsidRPr="009954D5">
        <w:rPr>
          <w:lang w:val="en-US"/>
        </w:rPr>
        <w:t xml:space="preserve">Trainee auditors, who are desired to be included in the </w:t>
      </w:r>
      <w:r w:rsidR="000243D2">
        <w:rPr>
          <w:lang w:val="en-US"/>
        </w:rPr>
        <w:t>IRNAC</w:t>
      </w:r>
      <w:r w:rsidR="00A87A90">
        <w:rPr>
          <w:lang w:val="en-US"/>
        </w:rPr>
        <w:t xml:space="preserve"> </w:t>
      </w:r>
      <w:r w:rsidRPr="009954D5">
        <w:rPr>
          <w:lang w:val="en-US"/>
        </w:rPr>
        <w:t xml:space="preserve">auditor/technical expert pool, are assigned to audits and their performances are observed under the supervision of the lead auditor. Following the conclusion of the audit, after the trainee auditor submits the audit report to the lead auditor, the lead auditor conveys his opinion on the trainee auditor to the </w:t>
      </w:r>
      <w:r w:rsidR="000243D2">
        <w:rPr>
          <w:lang w:val="en-US"/>
        </w:rPr>
        <w:t>IRNAC</w:t>
      </w:r>
      <w:r w:rsidR="00A87A90">
        <w:rPr>
          <w:lang w:val="en-US"/>
        </w:rPr>
        <w:t xml:space="preserve"> </w:t>
      </w:r>
      <w:r w:rsidRPr="009954D5">
        <w:rPr>
          <w:lang w:val="en-US"/>
        </w:rPr>
        <w:t xml:space="preserve">using </w:t>
      </w:r>
      <w:r w:rsidR="00883929">
        <w:rPr>
          <w:lang w:val="en-US"/>
        </w:rPr>
        <w:t>IRNAC</w:t>
      </w:r>
      <w:r w:rsidR="00A87A90">
        <w:rPr>
          <w:lang w:val="en-US"/>
        </w:rPr>
        <w:t>-FR-</w:t>
      </w:r>
      <w:r w:rsidR="00AA0E53" w:rsidRPr="00AA0E53">
        <w:rPr>
          <w:lang w:val="en-US"/>
        </w:rPr>
        <w:t>45 Trainer-Assistant Trainer Performance Evaluation Form</w:t>
      </w:r>
      <w:r w:rsidRPr="009954D5">
        <w:rPr>
          <w:lang w:val="en-US"/>
        </w:rPr>
        <w:t xml:space="preserve"> in Table 1. This assessment includes technical competence, mastery of relevant accreditation standards, oral and written presentation skills, demeanor and behavior.</w:t>
      </w:r>
    </w:p>
    <w:p w:rsidR="00D93BF6" w:rsidRDefault="00B07F7F" w:rsidP="00986D14">
      <w:pPr>
        <w:rPr>
          <w:lang w:val="en-US"/>
        </w:rPr>
      </w:pPr>
      <w:r>
        <w:rPr>
          <w:lang w:val="en-US"/>
        </w:rPr>
        <w:t xml:space="preserve">5.1.4 Monitoring of the </w:t>
      </w:r>
      <w:r w:rsidR="000243D2">
        <w:rPr>
          <w:lang w:val="en-US"/>
        </w:rPr>
        <w:t>IRNAC</w:t>
      </w:r>
      <w:r w:rsidR="00A87A90">
        <w:rPr>
          <w:lang w:val="en-US"/>
        </w:rPr>
        <w:t xml:space="preserve"> </w:t>
      </w:r>
      <w:r>
        <w:rPr>
          <w:lang w:val="en-US"/>
        </w:rPr>
        <w:t>Case</w:t>
      </w:r>
      <w:r w:rsidRPr="00B07F7F">
        <w:rPr>
          <w:lang w:val="en-US"/>
        </w:rPr>
        <w:t xml:space="preserve"> Officer by the Lead Auditor</w:t>
      </w:r>
    </w:p>
    <w:p w:rsidR="006A13DA" w:rsidRDefault="00A31BBC" w:rsidP="00986D14">
      <w:pPr>
        <w:rPr>
          <w:lang w:val="en-US"/>
        </w:rPr>
      </w:pPr>
      <w:r w:rsidRPr="00A31BBC">
        <w:rPr>
          <w:lang w:val="en-US"/>
        </w:rPr>
        <w:t xml:space="preserve">During the accreditation process, the timely selection, formation, assignment of the audit team and the coordination of the auditors are of great importance for an accreditation body. </w:t>
      </w:r>
      <w:r w:rsidR="000243D2">
        <w:rPr>
          <w:lang w:val="en-US"/>
        </w:rPr>
        <w:t>IRNAC</w:t>
      </w:r>
      <w:r w:rsidR="00A87A90">
        <w:rPr>
          <w:lang w:val="en-US"/>
        </w:rPr>
        <w:t xml:space="preserve"> </w:t>
      </w:r>
      <w:r w:rsidRPr="00A31BBC">
        <w:rPr>
          <w:lang w:val="en-US"/>
        </w:rPr>
        <w:t xml:space="preserve">does the necessary work to monitor the relevant </w:t>
      </w:r>
      <w:r w:rsidR="00CB2D99">
        <w:rPr>
          <w:lang w:val="en-US"/>
        </w:rPr>
        <w:t>case officer</w:t>
      </w:r>
      <w:r w:rsidRPr="00A31BBC">
        <w:rPr>
          <w:lang w:val="en-US"/>
        </w:rPr>
        <w:t xml:space="preserve"> who undertakes this task</w:t>
      </w:r>
      <w:r w:rsidR="00CB2D99">
        <w:rPr>
          <w:lang w:val="en-US"/>
        </w:rPr>
        <w:t>. Monitoring of the case officer</w:t>
      </w:r>
      <w:r w:rsidRPr="00A31BBC">
        <w:rPr>
          <w:lang w:val="en-US"/>
        </w:rPr>
        <w:t xml:space="preserve"> is carried out by the lead auditor appointed by the</w:t>
      </w:r>
      <w:r w:rsidR="00A87A90">
        <w:rPr>
          <w:lang w:val="en-US"/>
        </w:rPr>
        <w:t xml:space="preserve"> </w:t>
      </w:r>
      <w:r w:rsidR="000243D2">
        <w:rPr>
          <w:lang w:val="en-US"/>
        </w:rPr>
        <w:t>IRNAC</w:t>
      </w:r>
      <w:r w:rsidRPr="00A31BBC">
        <w:rPr>
          <w:lang w:val="en-US"/>
        </w:rPr>
        <w:t xml:space="preserve"> Th</w:t>
      </w:r>
      <w:r w:rsidR="00CB2D99">
        <w:rPr>
          <w:lang w:val="en-US"/>
        </w:rPr>
        <w:t>e monitoring of the case officer</w:t>
      </w:r>
      <w:r w:rsidRPr="00A31BBC">
        <w:rPr>
          <w:lang w:val="en-US"/>
        </w:rPr>
        <w:t xml:space="preserve"> by the Lead Auditor starts with the assignment of the audit team and continues until the accreditation proposal made by the audit team. The relevant form in Table 1 is </w:t>
      </w:r>
      <w:r w:rsidR="00CB2D99">
        <w:rPr>
          <w:lang w:val="en-US"/>
        </w:rPr>
        <w:t>used to monitor the case officer</w:t>
      </w:r>
      <w:r w:rsidRPr="00A31BBC">
        <w:rPr>
          <w:lang w:val="en-US"/>
        </w:rPr>
        <w:t>.</w:t>
      </w:r>
    </w:p>
    <w:p w:rsidR="004B4E4D" w:rsidRDefault="004B4E4D" w:rsidP="00433A9A">
      <w:pPr>
        <w:rPr>
          <w:lang w:val="en-US"/>
        </w:rPr>
      </w:pPr>
    </w:p>
    <w:p w:rsidR="00433A9A" w:rsidRDefault="00433A9A" w:rsidP="00433A9A">
      <w:pPr>
        <w:rPr>
          <w:lang w:val="en-US"/>
        </w:rPr>
      </w:pPr>
      <w:r>
        <w:rPr>
          <w:lang w:val="en-US"/>
        </w:rPr>
        <w:lastRenderedPageBreak/>
        <w:t xml:space="preserve">5.1.4 Monitoring of the </w:t>
      </w:r>
      <w:r w:rsidR="000243D2">
        <w:rPr>
          <w:lang w:val="en-US"/>
        </w:rPr>
        <w:t>IRNAC</w:t>
      </w:r>
      <w:r w:rsidR="00E74016">
        <w:rPr>
          <w:lang w:val="en-US"/>
        </w:rPr>
        <w:t xml:space="preserve"> </w:t>
      </w:r>
      <w:r>
        <w:rPr>
          <w:lang w:val="en-US"/>
        </w:rPr>
        <w:t>Case</w:t>
      </w:r>
      <w:r w:rsidRPr="00B07F7F">
        <w:rPr>
          <w:lang w:val="en-US"/>
        </w:rPr>
        <w:t xml:space="preserve"> Officer</w:t>
      </w:r>
      <w:r>
        <w:rPr>
          <w:lang w:val="en-US"/>
        </w:rPr>
        <w:t xml:space="preserve"> by the </w:t>
      </w:r>
      <w:r w:rsidRPr="00433A9A">
        <w:rPr>
          <w:lang w:val="en-US"/>
        </w:rPr>
        <w:t>Audited Entity</w:t>
      </w:r>
    </w:p>
    <w:p w:rsidR="007F621B" w:rsidRDefault="007F621B" w:rsidP="007F621B">
      <w:pPr>
        <w:rPr>
          <w:lang w:val="en-US"/>
        </w:rPr>
      </w:pPr>
      <w:r w:rsidRPr="00A31BBC">
        <w:rPr>
          <w:lang w:val="en-US"/>
        </w:rPr>
        <w:t>During the accreditation process, the timely selection, formation, assignment of the audit team and the coordination of the auditors are of great importance for an accreditation body</w:t>
      </w:r>
      <w:r w:rsidR="00F83B37">
        <w:rPr>
          <w:lang w:val="en-US"/>
        </w:rPr>
        <w:t xml:space="preserve"> and </w:t>
      </w:r>
      <w:r w:rsidR="00F83B37" w:rsidRPr="00433A9A">
        <w:rPr>
          <w:lang w:val="en-US"/>
        </w:rPr>
        <w:t>Audited Entity</w:t>
      </w:r>
      <w:r w:rsidRPr="00A31BBC">
        <w:rPr>
          <w:lang w:val="en-US"/>
        </w:rPr>
        <w:t xml:space="preserve">. </w:t>
      </w:r>
      <w:r w:rsidR="000243D2">
        <w:rPr>
          <w:lang w:val="en-US"/>
        </w:rPr>
        <w:t>IRNAC</w:t>
      </w:r>
      <w:r w:rsidR="00E74016">
        <w:rPr>
          <w:lang w:val="en-US"/>
        </w:rPr>
        <w:t xml:space="preserve"> </w:t>
      </w:r>
      <w:r w:rsidRPr="00A31BBC">
        <w:rPr>
          <w:lang w:val="en-US"/>
        </w:rPr>
        <w:t xml:space="preserve">does the necessary work to monitor the relevant </w:t>
      </w:r>
      <w:r>
        <w:rPr>
          <w:lang w:val="en-US"/>
        </w:rPr>
        <w:t>case officer</w:t>
      </w:r>
      <w:r w:rsidRPr="00A31BBC">
        <w:rPr>
          <w:lang w:val="en-US"/>
        </w:rPr>
        <w:t xml:space="preserve"> who undertakes this task</w:t>
      </w:r>
      <w:r>
        <w:rPr>
          <w:lang w:val="en-US"/>
        </w:rPr>
        <w:t>. Monitoring of the case officer</w:t>
      </w:r>
      <w:r w:rsidRPr="00A31BBC">
        <w:rPr>
          <w:lang w:val="en-US"/>
        </w:rPr>
        <w:t xml:space="preserve"> is</w:t>
      </w:r>
      <w:r w:rsidR="00183585">
        <w:rPr>
          <w:lang w:val="en-US"/>
        </w:rPr>
        <w:t xml:space="preserve"> carried out by the </w:t>
      </w:r>
      <w:r w:rsidR="00183585" w:rsidRPr="00433A9A">
        <w:rPr>
          <w:lang w:val="en-US"/>
        </w:rPr>
        <w:t>Audited Entity</w:t>
      </w:r>
      <w:r w:rsidRPr="00A31BBC">
        <w:rPr>
          <w:lang w:val="en-US"/>
        </w:rPr>
        <w:t xml:space="preserve"> appointed by the</w:t>
      </w:r>
      <w:r w:rsidR="00E74016">
        <w:rPr>
          <w:lang w:val="en-US"/>
        </w:rPr>
        <w:t xml:space="preserve"> </w:t>
      </w:r>
      <w:r w:rsidR="000243D2">
        <w:rPr>
          <w:lang w:val="en-US"/>
        </w:rPr>
        <w:t>IRNAC</w:t>
      </w:r>
      <w:r w:rsidRPr="00A31BBC">
        <w:rPr>
          <w:lang w:val="en-US"/>
        </w:rPr>
        <w:t xml:space="preserve"> Th</w:t>
      </w:r>
      <w:r>
        <w:rPr>
          <w:lang w:val="en-US"/>
        </w:rPr>
        <w:t>e monitoring of the case officer</w:t>
      </w:r>
      <w:r w:rsidR="00EC78C0">
        <w:rPr>
          <w:lang w:val="en-US"/>
        </w:rPr>
        <w:t xml:space="preserve"> by the </w:t>
      </w:r>
      <w:r w:rsidR="00EC78C0" w:rsidRPr="00433A9A">
        <w:rPr>
          <w:lang w:val="en-US"/>
        </w:rPr>
        <w:t>Audited Entity</w:t>
      </w:r>
      <w:r w:rsidRPr="00A31BBC">
        <w:rPr>
          <w:lang w:val="en-US"/>
        </w:rPr>
        <w:t xml:space="preserve"> starts with </w:t>
      </w:r>
      <w:r w:rsidR="00B27F55">
        <w:rPr>
          <w:lang w:val="en-US"/>
        </w:rPr>
        <w:t>the application of CAB</w:t>
      </w:r>
      <w:r w:rsidRPr="00A31BBC">
        <w:rPr>
          <w:lang w:val="en-US"/>
        </w:rPr>
        <w:t xml:space="preserve"> and continues until the accreditation proposal made by the audit team. The relevant form in Table 1 is </w:t>
      </w:r>
      <w:r>
        <w:rPr>
          <w:lang w:val="en-US"/>
        </w:rPr>
        <w:t>used to monitor the case officer</w:t>
      </w:r>
      <w:r w:rsidRPr="00A31BBC">
        <w:rPr>
          <w:lang w:val="en-US"/>
        </w:rPr>
        <w:t>.</w:t>
      </w:r>
    </w:p>
    <w:p w:rsidR="00CF15CF" w:rsidRDefault="00CF15CF" w:rsidP="00986D14">
      <w:pPr>
        <w:rPr>
          <w:lang w:val="en-US"/>
        </w:rPr>
      </w:pPr>
    </w:p>
    <w:p w:rsidR="00B31211" w:rsidRDefault="007C4FCC" w:rsidP="00986D14">
      <w:pPr>
        <w:rPr>
          <w:lang w:val="en-US"/>
        </w:rPr>
      </w:pPr>
      <w:r w:rsidRPr="007C4FCC">
        <w:rPr>
          <w:lang w:val="en-US"/>
        </w:rPr>
        <w:t>5.1.6 Monitoring the Performance</w:t>
      </w:r>
      <w:r>
        <w:rPr>
          <w:lang w:val="en-US"/>
        </w:rPr>
        <w:t xml:space="preserve"> of Accreditation Decision Committee</w:t>
      </w:r>
      <w:r w:rsidRPr="007C4FCC">
        <w:rPr>
          <w:lang w:val="en-US"/>
        </w:rPr>
        <w:t xml:space="preserve"> Members</w:t>
      </w:r>
    </w:p>
    <w:p w:rsidR="007C4FCC" w:rsidRDefault="003A2E88" w:rsidP="00986D14">
      <w:pPr>
        <w:rPr>
          <w:lang w:val="en-US"/>
        </w:rPr>
      </w:pPr>
      <w:r w:rsidRPr="003A2E88">
        <w:rPr>
          <w:lang w:val="en-US"/>
        </w:rPr>
        <w:t xml:space="preserve">The performance of the members of the accreditation decision committee is evaluated at least once a year by the </w:t>
      </w:r>
      <w:r w:rsidR="002F5F3D">
        <w:rPr>
          <w:lang w:val="en-US"/>
        </w:rPr>
        <w:t xml:space="preserve">Accreditation </w:t>
      </w:r>
      <w:r w:rsidRPr="003A2E88">
        <w:rPr>
          <w:lang w:val="en-US"/>
        </w:rPr>
        <w:t xml:space="preserve">Decision Committee Monitoring Team. In addition, additional monitoring and evaluation can be carried out in cases such as complaints/objections against the decisions taken by the </w:t>
      </w:r>
      <w:r w:rsidR="00A16A48">
        <w:rPr>
          <w:lang w:val="en-US"/>
        </w:rPr>
        <w:t xml:space="preserve">accreditation </w:t>
      </w:r>
      <w:r w:rsidRPr="003A2E88">
        <w:rPr>
          <w:lang w:val="en-US"/>
        </w:rPr>
        <w:t xml:space="preserve">decision </w:t>
      </w:r>
      <w:r w:rsidR="00FA365E">
        <w:rPr>
          <w:lang w:val="en-US"/>
        </w:rPr>
        <w:t>committee</w:t>
      </w:r>
      <w:r w:rsidRPr="003A2E88">
        <w:rPr>
          <w:lang w:val="en-US"/>
        </w:rPr>
        <w:t xml:space="preserve"> or against any member, change of decision </w:t>
      </w:r>
      <w:r w:rsidR="00FA365E">
        <w:rPr>
          <w:lang w:val="en-US"/>
        </w:rPr>
        <w:t>committee</w:t>
      </w:r>
      <w:r w:rsidRPr="003A2E88">
        <w:rPr>
          <w:lang w:val="en-US"/>
        </w:rPr>
        <w:t xml:space="preserve"> members, etc. During performance monitoring, the following issues are evaluated using the</w:t>
      </w:r>
      <w:r w:rsidR="00426DBD" w:rsidRPr="00426DBD">
        <w:t xml:space="preserve"> </w:t>
      </w:r>
      <w:r w:rsidR="00883929">
        <w:rPr>
          <w:lang w:val="en-US"/>
        </w:rPr>
        <w:t>IRNAC</w:t>
      </w:r>
      <w:r w:rsidR="00E556C7">
        <w:rPr>
          <w:lang w:val="en-US"/>
        </w:rPr>
        <w:t>-FR-</w:t>
      </w:r>
      <w:r w:rsidR="00426DBD" w:rsidRPr="00426DBD">
        <w:rPr>
          <w:lang w:val="en-US"/>
        </w:rPr>
        <w:t>30 Accreditation Decision Committee Members Performance Monitoring Form</w:t>
      </w:r>
      <w:r w:rsidRPr="003A2E88">
        <w:rPr>
          <w:lang w:val="en-US"/>
        </w:rPr>
        <w:t>.</w:t>
      </w:r>
    </w:p>
    <w:p w:rsidR="0004579E" w:rsidRPr="0004579E" w:rsidRDefault="0004579E" w:rsidP="0004579E">
      <w:pPr>
        <w:rPr>
          <w:lang w:val="en-US"/>
        </w:rPr>
      </w:pPr>
      <w:r w:rsidRPr="0004579E">
        <w:rPr>
          <w:lang w:val="en-US"/>
        </w:rPr>
        <w:t>• Statements in the decisions taken</w:t>
      </w:r>
    </w:p>
    <w:p w:rsidR="0004579E" w:rsidRPr="0004579E" w:rsidRDefault="0004579E" w:rsidP="0004579E">
      <w:pPr>
        <w:rPr>
          <w:lang w:val="en-US"/>
        </w:rPr>
      </w:pPr>
      <w:r w:rsidRPr="0004579E">
        <w:rPr>
          <w:lang w:val="en-US"/>
        </w:rPr>
        <w:t>• Number of decisions taken during the monitoring period</w:t>
      </w:r>
    </w:p>
    <w:p w:rsidR="0004579E" w:rsidRPr="0004579E" w:rsidRDefault="0004579E" w:rsidP="0004579E">
      <w:pPr>
        <w:rPr>
          <w:lang w:val="en-US"/>
        </w:rPr>
      </w:pPr>
      <w:r w:rsidRPr="0004579E">
        <w:rPr>
          <w:lang w:val="en-US"/>
        </w:rPr>
        <w:t>• The rate of participation of the members of the accreditation decision committee in the decisions</w:t>
      </w:r>
    </w:p>
    <w:p w:rsidR="0004579E" w:rsidRPr="0004579E" w:rsidRDefault="0004579E" w:rsidP="0004579E">
      <w:pPr>
        <w:rPr>
          <w:lang w:val="en-US"/>
        </w:rPr>
      </w:pPr>
      <w:r w:rsidRPr="0004579E">
        <w:rPr>
          <w:lang w:val="en-US"/>
        </w:rPr>
        <w:t>• Ratio of objections to the decisions taken</w:t>
      </w:r>
    </w:p>
    <w:p w:rsidR="0004579E" w:rsidRPr="0004579E" w:rsidRDefault="0004579E" w:rsidP="0004579E">
      <w:pPr>
        <w:rPr>
          <w:lang w:val="en-US"/>
        </w:rPr>
      </w:pPr>
      <w:r w:rsidRPr="0004579E">
        <w:rPr>
          <w:lang w:val="en-US"/>
        </w:rPr>
        <w:t>• Appropriateness of different types of decisions</w:t>
      </w:r>
    </w:p>
    <w:p w:rsidR="0004579E" w:rsidRPr="0004579E" w:rsidRDefault="0004579E" w:rsidP="0004579E">
      <w:pPr>
        <w:rPr>
          <w:lang w:val="en-US"/>
        </w:rPr>
      </w:pPr>
      <w:r w:rsidRPr="0004579E">
        <w:rPr>
          <w:lang w:val="en-US"/>
        </w:rPr>
        <w:t>• Complaints about decisions</w:t>
      </w:r>
    </w:p>
    <w:p w:rsidR="0004579E" w:rsidRPr="0004579E" w:rsidRDefault="0004579E" w:rsidP="0004579E">
      <w:pPr>
        <w:rPr>
          <w:lang w:val="en-US"/>
        </w:rPr>
      </w:pPr>
      <w:r>
        <w:rPr>
          <w:lang w:val="en-US"/>
        </w:rPr>
        <w:t>• Appeal</w:t>
      </w:r>
      <w:r w:rsidRPr="0004579E">
        <w:rPr>
          <w:lang w:val="en-US"/>
        </w:rPr>
        <w:t>s to decisions</w:t>
      </w:r>
    </w:p>
    <w:p w:rsidR="0004579E" w:rsidRPr="0004579E" w:rsidRDefault="0004579E" w:rsidP="0004579E">
      <w:pPr>
        <w:rPr>
          <w:lang w:val="en-US"/>
        </w:rPr>
      </w:pPr>
      <w:r w:rsidRPr="0004579E">
        <w:rPr>
          <w:lang w:val="en-US"/>
        </w:rPr>
        <w:t>• Decision time</w:t>
      </w:r>
    </w:p>
    <w:p w:rsidR="00404DBE" w:rsidRDefault="0004579E" w:rsidP="0004579E">
      <w:pPr>
        <w:rPr>
          <w:lang w:val="en-US"/>
        </w:rPr>
      </w:pPr>
      <w:r w:rsidRPr="0004579E">
        <w:rPr>
          <w:lang w:val="en-US"/>
        </w:rPr>
        <w:t xml:space="preserve">• Feedback from </w:t>
      </w:r>
      <w:r>
        <w:rPr>
          <w:lang w:val="en-US"/>
        </w:rPr>
        <w:t xml:space="preserve">case officers </w:t>
      </w:r>
    </w:p>
    <w:p w:rsidR="0004579E" w:rsidRDefault="00881315" w:rsidP="0004579E">
      <w:pPr>
        <w:rPr>
          <w:lang w:val="en-US"/>
        </w:rPr>
      </w:pPr>
      <w:r>
        <w:rPr>
          <w:lang w:val="en-US"/>
        </w:rPr>
        <w:t xml:space="preserve">Accreditation </w:t>
      </w:r>
      <w:r w:rsidR="00922717" w:rsidRPr="00922717">
        <w:rPr>
          <w:lang w:val="en-US"/>
        </w:rPr>
        <w:t xml:space="preserve">Decision </w:t>
      </w:r>
      <w:r w:rsidR="00FA365E">
        <w:rPr>
          <w:lang w:val="en-US"/>
        </w:rPr>
        <w:t>Committee</w:t>
      </w:r>
      <w:r w:rsidR="00922717" w:rsidRPr="00922717">
        <w:rPr>
          <w:lang w:val="en-US"/>
        </w:rPr>
        <w:t xml:space="preserve"> Monitoring Team; It consists of two people who have not taken part in the </w:t>
      </w:r>
      <w:r w:rsidR="000243D2">
        <w:rPr>
          <w:lang w:val="en-US"/>
        </w:rPr>
        <w:t>IRNAC</w:t>
      </w:r>
      <w:r w:rsidR="00E556C7">
        <w:rPr>
          <w:lang w:val="en-US"/>
        </w:rPr>
        <w:t xml:space="preserve"> </w:t>
      </w:r>
      <w:r w:rsidR="00922717" w:rsidRPr="00922717">
        <w:rPr>
          <w:lang w:val="en-US"/>
        </w:rPr>
        <w:t>decision mechanism in the last year and who have the following qualifications. Members are determined by the</w:t>
      </w:r>
      <w:r w:rsidR="006624F5">
        <w:rPr>
          <w:lang w:val="en-US"/>
        </w:rPr>
        <w:t xml:space="preserve"> Quality Manager or the President or relevant Deputy President</w:t>
      </w:r>
      <w:r w:rsidR="00922717" w:rsidRPr="00922717">
        <w:rPr>
          <w:lang w:val="en-US"/>
        </w:rPr>
        <w:t xml:space="preserve"> who is not involved in the decision process.</w:t>
      </w:r>
    </w:p>
    <w:p w:rsidR="006576DF" w:rsidRPr="006576DF" w:rsidRDefault="006576DF" w:rsidP="006576DF">
      <w:pPr>
        <w:rPr>
          <w:lang w:val="en-US"/>
        </w:rPr>
      </w:pPr>
      <w:r w:rsidRPr="006576DF">
        <w:rPr>
          <w:lang w:val="en-US"/>
        </w:rPr>
        <w:t>• At least one of the members must have at least 3 years of experience in ISO/IEC 17011, this experience should also include decision processes,</w:t>
      </w:r>
    </w:p>
    <w:p w:rsidR="006576DF" w:rsidRPr="006576DF" w:rsidRDefault="006576DF" w:rsidP="006576DF">
      <w:pPr>
        <w:rPr>
          <w:lang w:val="en-US"/>
        </w:rPr>
      </w:pPr>
      <w:r w:rsidRPr="006576DF">
        <w:rPr>
          <w:lang w:val="en-US"/>
        </w:rPr>
        <w:t>• At least one of the members must be an auditor/lead auditor in at least one of the accreditation standards,</w:t>
      </w:r>
    </w:p>
    <w:p w:rsidR="006576DF" w:rsidRPr="006576DF" w:rsidRDefault="006576DF" w:rsidP="006576DF">
      <w:pPr>
        <w:rPr>
          <w:lang w:val="en-US"/>
        </w:rPr>
      </w:pPr>
      <w:r w:rsidRPr="006576DF">
        <w:rPr>
          <w:lang w:val="en-US"/>
        </w:rPr>
        <w:lastRenderedPageBreak/>
        <w:t xml:space="preserve">• Each of the </w:t>
      </w:r>
      <w:r w:rsidR="00A54723">
        <w:rPr>
          <w:lang w:val="en-US"/>
        </w:rPr>
        <w:t>members must have a minimum of 3</w:t>
      </w:r>
      <w:r w:rsidRPr="006576DF">
        <w:rPr>
          <w:lang w:val="en-US"/>
        </w:rPr>
        <w:t xml:space="preserve"> years of work</w:t>
      </w:r>
      <w:r w:rsidR="00A54723">
        <w:rPr>
          <w:lang w:val="en-US"/>
        </w:rPr>
        <w:t xml:space="preserve"> experience, of which at least 1</w:t>
      </w:r>
      <w:r w:rsidRPr="006576DF">
        <w:rPr>
          <w:lang w:val="en-US"/>
        </w:rPr>
        <w:t xml:space="preserve"> years must be in a managerial position,</w:t>
      </w:r>
    </w:p>
    <w:p w:rsidR="00976E00" w:rsidRDefault="006576DF" w:rsidP="006576DF">
      <w:pPr>
        <w:rPr>
          <w:lang w:val="en-US"/>
        </w:rPr>
      </w:pPr>
      <w:r w:rsidRPr="006576DF">
        <w:rPr>
          <w:lang w:val="en-US"/>
        </w:rPr>
        <w:t>• At least one of the m</w:t>
      </w:r>
      <w:r w:rsidR="00AB451A">
        <w:rPr>
          <w:lang w:val="en-US"/>
        </w:rPr>
        <w:t>embers must have knowledge of APAC</w:t>
      </w:r>
      <w:r w:rsidR="002A6687">
        <w:rPr>
          <w:lang w:val="en-US"/>
        </w:rPr>
        <w:t xml:space="preserve"> / ILAC / IAF</w:t>
      </w:r>
      <w:r w:rsidRPr="006576DF">
        <w:rPr>
          <w:lang w:val="en-US"/>
        </w:rPr>
        <w:t xml:space="preserve"> documents.</w:t>
      </w:r>
    </w:p>
    <w:p w:rsidR="004F2425" w:rsidRDefault="004F2425" w:rsidP="006576DF">
      <w:pPr>
        <w:rPr>
          <w:lang w:val="en-US"/>
        </w:rPr>
      </w:pPr>
    </w:p>
    <w:p w:rsidR="006576DF" w:rsidRDefault="00740AE4" w:rsidP="006576DF">
      <w:pPr>
        <w:rPr>
          <w:lang w:val="en-US"/>
        </w:rPr>
      </w:pPr>
      <w:r w:rsidRPr="00740AE4">
        <w:rPr>
          <w:lang w:val="en-US"/>
        </w:rPr>
        <w:t>5.2 Planning and Evaluation</w:t>
      </w:r>
    </w:p>
    <w:p w:rsidR="00976E00" w:rsidRDefault="007C0E8E" w:rsidP="006576DF">
      <w:pPr>
        <w:rPr>
          <w:lang w:val="en-US"/>
        </w:rPr>
      </w:pPr>
      <w:r>
        <w:rPr>
          <w:lang w:val="en-US"/>
        </w:rPr>
        <w:t xml:space="preserve">5.2.1. Planning the </w:t>
      </w:r>
      <w:r w:rsidRPr="00740AE4">
        <w:rPr>
          <w:lang w:val="en-US"/>
        </w:rPr>
        <w:t>Evaluation</w:t>
      </w:r>
    </w:p>
    <w:p w:rsidR="002717F6" w:rsidRDefault="002717F6" w:rsidP="006576DF">
      <w:pPr>
        <w:rPr>
          <w:lang w:val="en-US"/>
        </w:rPr>
      </w:pPr>
      <w:r>
        <w:rPr>
          <w:lang w:val="en-US"/>
        </w:rPr>
        <w:t>Table-1</w:t>
      </w:r>
    </w:p>
    <w:tbl>
      <w:tblPr>
        <w:tblStyle w:val="TableNormal"/>
        <w:tblpPr w:leftFromText="141" w:rightFromText="141" w:vertAnchor="text" w:horzAnchor="margin" w:tblpXSpec="center" w:tblpY="657"/>
        <w:tblW w:w="107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80"/>
        <w:gridCol w:w="1664"/>
        <w:gridCol w:w="1701"/>
        <w:gridCol w:w="4512"/>
      </w:tblGrid>
      <w:tr w:rsidR="00E7789C" w:rsidTr="00FD29D9">
        <w:trPr>
          <w:trHeight w:val="540"/>
        </w:trPr>
        <w:tc>
          <w:tcPr>
            <w:tcW w:w="2880" w:type="dxa"/>
          </w:tcPr>
          <w:p w:rsidR="00E7789C" w:rsidRDefault="00E7789C" w:rsidP="00E7789C">
            <w:pPr>
              <w:pStyle w:val="TableParagraph"/>
              <w:spacing w:before="1"/>
              <w:rPr>
                <w:sz w:val="15"/>
              </w:rPr>
            </w:pPr>
          </w:p>
          <w:p w:rsidR="00E7789C" w:rsidRDefault="00686DC5" w:rsidP="00E7789C">
            <w:pPr>
              <w:pStyle w:val="TableParagraph"/>
              <w:ind w:left="23"/>
              <w:rPr>
                <w:b/>
                <w:sz w:val="16"/>
              </w:rPr>
            </w:pPr>
            <w:r w:rsidRPr="00686DC5">
              <w:rPr>
                <w:b/>
                <w:sz w:val="16"/>
              </w:rPr>
              <w:t>Monitoring Subject</w:t>
            </w:r>
          </w:p>
        </w:tc>
        <w:tc>
          <w:tcPr>
            <w:tcW w:w="1664" w:type="dxa"/>
          </w:tcPr>
          <w:p w:rsidR="00E7789C" w:rsidRDefault="00E7789C" w:rsidP="00E7789C">
            <w:pPr>
              <w:pStyle w:val="TableParagraph"/>
              <w:spacing w:before="1"/>
              <w:rPr>
                <w:sz w:val="15"/>
              </w:rPr>
            </w:pPr>
          </w:p>
          <w:p w:rsidR="00E7789C" w:rsidRDefault="00686DC5" w:rsidP="00E7789C">
            <w:pPr>
              <w:pStyle w:val="TableParagraph"/>
              <w:ind w:left="23"/>
              <w:rPr>
                <w:b/>
                <w:sz w:val="16"/>
              </w:rPr>
            </w:pPr>
            <w:r w:rsidRPr="00686DC5">
              <w:rPr>
                <w:b/>
                <w:sz w:val="16"/>
              </w:rPr>
              <w:t>Monitoring Frequency</w:t>
            </w:r>
          </w:p>
        </w:tc>
        <w:tc>
          <w:tcPr>
            <w:tcW w:w="1701" w:type="dxa"/>
          </w:tcPr>
          <w:p w:rsidR="00E7789C" w:rsidRDefault="00E7789C" w:rsidP="00E7789C">
            <w:pPr>
              <w:pStyle w:val="TableParagraph"/>
              <w:spacing w:before="1"/>
              <w:rPr>
                <w:sz w:val="15"/>
              </w:rPr>
            </w:pPr>
          </w:p>
          <w:p w:rsidR="00E7789C" w:rsidRDefault="00686DC5" w:rsidP="00E7789C">
            <w:pPr>
              <w:pStyle w:val="TableParagraph"/>
              <w:ind w:left="23"/>
              <w:rPr>
                <w:b/>
                <w:sz w:val="16"/>
              </w:rPr>
            </w:pPr>
            <w:r w:rsidRPr="00686DC5">
              <w:rPr>
                <w:b/>
                <w:sz w:val="16"/>
              </w:rPr>
              <w:t>Evaluator</w:t>
            </w:r>
          </w:p>
        </w:tc>
        <w:tc>
          <w:tcPr>
            <w:tcW w:w="4512" w:type="dxa"/>
          </w:tcPr>
          <w:p w:rsidR="00E7789C" w:rsidRDefault="00E7789C" w:rsidP="00E7789C">
            <w:pPr>
              <w:pStyle w:val="TableParagraph"/>
              <w:spacing w:before="1"/>
              <w:rPr>
                <w:sz w:val="15"/>
              </w:rPr>
            </w:pPr>
          </w:p>
          <w:p w:rsidR="00E7789C" w:rsidRDefault="00686DC5" w:rsidP="00E7789C">
            <w:pPr>
              <w:pStyle w:val="TableParagraph"/>
              <w:ind w:left="23"/>
              <w:rPr>
                <w:b/>
                <w:sz w:val="16"/>
              </w:rPr>
            </w:pPr>
            <w:r w:rsidRPr="00686DC5">
              <w:rPr>
                <w:b/>
                <w:sz w:val="16"/>
              </w:rPr>
              <w:t>Monitoring Tool</w:t>
            </w:r>
          </w:p>
        </w:tc>
      </w:tr>
      <w:tr w:rsidR="00E7789C" w:rsidTr="00FD29D9">
        <w:trPr>
          <w:trHeight w:val="540"/>
        </w:trPr>
        <w:tc>
          <w:tcPr>
            <w:tcW w:w="2880" w:type="dxa"/>
          </w:tcPr>
          <w:p w:rsidR="00E7789C" w:rsidRDefault="00E7789C" w:rsidP="00E7789C">
            <w:pPr>
              <w:pStyle w:val="TableParagraph"/>
              <w:spacing w:before="1"/>
              <w:rPr>
                <w:sz w:val="15"/>
              </w:rPr>
            </w:pPr>
          </w:p>
          <w:p w:rsidR="00E7789C" w:rsidRDefault="003E2BBE" w:rsidP="00E7789C">
            <w:pPr>
              <w:pStyle w:val="TableParagraph"/>
              <w:ind w:left="23"/>
              <w:rPr>
                <w:sz w:val="16"/>
              </w:rPr>
            </w:pPr>
            <w:r w:rsidRPr="003E2BBE">
              <w:rPr>
                <w:sz w:val="16"/>
              </w:rPr>
              <w:t>Audit Team Members</w:t>
            </w:r>
          </w:p>
        </w:tc>
        <w:tc>
          <w:tcPr>
            <w:tcW w:w="1664" w:type="dxa"/>
          </w:tcPr>
          <w:p w:rsidR="00E7789C" w:rsidRDefault="00E7789C" w:rsidP="00E7789C">
            <w:pPr>
              <w:pStyle w:val="TableParagraph"/>
              <w:spacing w:before="1"/>
              <w:rPr>
                <w:sz w:val="15"/>
              </w:rPr>
            </w:pPr>
          </w:p>
          <w:p w:rsidR="00E7789C" w:rsidRDefault="003E2BBE" w:rsidP="00E7789C">
            <w:pPr>
              <w:pStyle w:val="TableParagraph"/>
              <w:ind w:left="23"/>
              <w:rPr>
                <w:sz w:val="16"/>
              </w:rPr>
            </w:pPr>
            <w:r w:rsidRPr="003E2BBE">
              <w:rPr>
                <w:sz w:val="16"/>
              </w:rPr>
              <w:t xml:space="preserve">At each </w:t>
            </w:r>
            <w:r>
              <w:rPr>
                <w:sz w:val="16"/>
              </w:rPr>
              <w:t>Audit</w:t>
            </w:r>
          </w:p>
        </w:tc>
        <w:tc>
          <w:tcPr>
            <w:tcW w:w="1701" w:type="dxa"/>
          </w:tcPr>
          <w:p w:rsidR="00E7789C" w:rsidRDefault="00BB6718" w:rsidP="00E7789C">
            <w:pPr>
              <w:pStyle w:val="TableParagraph"/>
              <w:spacing w:before="79" w:line="247" w:lineRule="auto"/>
              <w:ind w:left="23" w:right="1066"/>
              <w:rPr>
                <w:sz w:val="16"/>
              </w:rPr>
            </w:pPr>
            <w:r>
              <w:rPr>
                <w:color w:val="1F1F1F"/>
                <w:sz w:val="16"/>
              </w:rPr>
              <w:t>Case Officer</w:t>
            </w:r>
          </w:p>
        </w:tc>
        <w:tc>
          <w:tcPr>
            <w:tcW w:w="4512" w:type="dxa"/>
          </w:tcPr>
          <w:p w:rsidR="00E7789C" w:rsidRDefault="00883929" w:rsidP="00E7789C">
            <w:pPr>
              <w:pStyle w:val="TableParagraph"/>
              <w:spacing w:before="79" w:line="247" w:lineRule="auto"/>
              <w:ind w:left="23" w:right="1375"/>
              <w:rPr>
                <w:sz w:val="16"/>
              </w:rPr>
            </w:pPr>
            <w:r>
              <w:rPr>
                <w:sz w:val="16"/>
              </w:rPr>
              <w:t>IRNAC</w:t>
            </w:r>
            <w:r w:rsidR="00E556C7">
              <w:rPr>
                <w:sz w:val="16"/>
              </w:rPr>
              <w:t xml:space="preserve">-FR-58 Evaluation of the </w:t>
            </w:r>
            <w:r w:rsidR="000243D2">
              <w:rPr>
                <w:sz w:val="16"/>
              </w:rPr>
              <w:t>IRNAC</w:t>
            </w:r>
            <w:r w:rsidR="008D3BBB" w:rsidRPr="008D3BBB">
              <w:rPr>
                <w:sz w:val="16"/>
              </w:rPr>
              <w:t xml:space="preserve"> Case Officer by the Audited Entity</w:t>
            </w:r>
          </w:p>
          <w:p w:rsidR="00D73113" w:rsidRDefault="00883929" w:rsidP="00E556C7">
            <w:pPr>
              <w:pStyle w:val="TableParagraph"/>
              <w:spacing w:before="79" w:line="247" w:lineRule="auto"/>
              <w:ind w:left="23" w:right="1375"/>
              <w:rPr>
                <w:sz w:val="16"/>
              </w:rPr>
            </w:pPr>
            <w:r>
              <w:rPr>
                <w:sz w:val="16"/>
              </w:rPr>
              <w:t>IRNAC</w:t>
            </w:r>
            <w:r w:rsidR="00E556C7">
              <w:rPr>
                <w:sz w:val="16"/>
              </w:rPr>
              <w:t>-FR-</w:t>
            </w:r>
            <w:r w:rsidR="00D73113" w:rsidRPr="00D73113">
              <w:rPr>
                <w:sz w:val="16"/>
              </w:rPr>
              <w:t xml:space="preserve">67 Evaluation of the </w:t>
            </w:r>
            <w:r w:rsidR="000243D2">
              <w:rPr>
                <w:sz w:val="16"/>
              </w:rPr>
              <w:t>IRNAC</w:t>
            </w:r>
            <w:r w:rsidR="00E556C7">
              <w:rPr>
                <w:sz w:val="16"/>
              </w:rPr>
              <w:t xml:space="preserve"> </w:t>
            </w:r>
            <w:r w:rsidR="00D73113" w:rsidRPr="00D73113">
              <w:rPr>
                <w:sz w:val="16"/>
              </w:rPr>
              <w:t>case officer by the Lead Auditor</w:t>
            </w:r>
          </w:p>
        </w:tc>
      </w:tr>
      <w:tr w:rsidR="00E7789C" w:rsidTr="00FD29D9">
        <w:trPr>
          <w:trHeight w:val="540"/>
        </w:trPr>
        <w:tc>
          <w:tcPr>
            <w:tcW w:w="2880" w:type="dxa"/>
          </w:tcPr>
          <w:p w:rsidR="00E7789C" w:rsidRDefault="00E7789C" w:rsidP="00E7789C">
            <w:pPr>
              <w:pStyle w:val="TableParagraph"/>
              <w:spacing w:before="1"/>
              <w:rPr>
                <w:sz w:val="15"/>
              </w:rPr>
            </w:pPr>
          </w:p>
          <w:p w:rsidR="00E7789C" w:rsidRDefault="00DE1AD8" w:rsidP="00E7789C">
            <w:pPr>
              <w:pStyle w:val="TableParagraph"/>
              <w:ind w:left="23"/>
              <w:rPr>
                <w:sz w:val="16"/>
              </w:rPr>
            </w:pPr>
            <w:r>
              <w:rPr>
                <w:color w:val="1F1F1F"/>
                <w:sz w:val="16"/>
              </w:rPr>
              <w:t>Lead Auditor</w:t>
            </w:r>
          </w:p>
        </w:tc>
        <w:tc>
          <w:tcPr>
            <w:tcW w:w="1664" w:type="dxa"/>
          </w:tcPr>
          <w:p w:rsidR="00E7789C" w:rsidRDefault="00E7789C" w:rsidP="00E7789C">
            <w:pPr>
              <w:pStyle w:val="TableParagraph"/>
              <w:spacing w:before="1"/>
              <w:rPr>
                <w:sz w:val="15"/>
              </w:rPr>
            </w:pPr>
          </w:p>
          <w:p w:rsidR="00E7789C" w:rsidRDefault="00DE1AD8" w:rsidP="00E7789C">
            <w:pPr>
              <w:pStyle w:val="TableParagraph"/>
              <w:ind w:left="23"/>
              <w:rPr>
                <w:sz w:val="16"/>
              </w:rPr>
            </w:pPr>
            <w:r>
              <w:rPr>
                <w:sz w:val="16"/>
              </w:rPr>
              <w:t>A</w:t>
            </w:r>
            <w:r w:rsidRPr="00DE1AD8">
              <w:rPr>
                <w:sz w:val="16"/>
              </w:rPr>
              <w:t>t least once in 3 years</w:t>
            </w:r>
          </w:p>
        </w:tc>
        <w:tc>
          <w:tcPr>
            <w:tcW w:w="1701" w:type="dxa"/>
          </w:tcPr>
          <w:p w:rsidR="00E7789C" w:rsidRDefault="002C4278" w:rsidP="00E7789C">
            <w:pPr>
              <w:pStyle w:val="TableParagraph"/>
              <w:spacing w:before="7"/>
              <w:ind w:left="23"/>
              <w:rPr>
                <w:sz w:val="16"/>
              </w:rPr>
            </w:pPr>
            <w:r>
              <w:rPr>
                <w:color w:val="1F1F1F"/>
                <w:w w:val="110"/>
                <w:sz w:val="16"/>
              </w:rPr>
              <w:t>Lead Auditor</w:t>
            </w:r>
          </w:p>
        </w:tc>
        <w:tc>
          <w:tcPr>
            <w:tcW w:w="4512" w:type="dxa"/>
          </w:tcPr>
          <w:p w:rsidR="00F75866" w:rsidRPr="00F75866" w:rsidRDefault="00883929" w:rsidP="00F75866">
            <w:pPr>
              <w:pStyle w:val="TableParagraph"/>
              <w:spacing w:before="79" w:line="247" w:lineRule="auto"/>
              <w:ind w:left="23" w:right="1375"/>
              <w:rPr>
                <w:sz w:val="16"/>
              </w:rPr>
            </w:pPr>
            <w:r>
              <w:rPr>
                <w:sz w:val="16"/>
              </w:rPr>
              <w:t>IRNAC</w:t>
            </w:r>
            <w:r w:rsidR="00E556C7">
              <w:rPr>
                <w:sz w:val="16"/>
              </w:rPr>
              <w:t>-FR-</w:t>
            </w:r>
            <w:r w:rsidR="00F75866">
              <w:rPr>
                <w:sz w:val="16"/>
              </w:rPr>
              <w:t>29 Lead Audito</w:t>
            </w:r>
            <w:r w:rsidR="00F75866" w:rsidRPr="00F75866">
              <w:rPr>
                <w:sz w:val="16"/>
              </w:rPr>
              <w:t xml:space="preserve">r Observation Report </w:t>
            </w:r>
          </w:p>
          <w:p w:rsidR="00F75866" w:rsidRPr="00F75866" w:rsidRDefault="00883929" w:rsidP="00F75866">
            <w:pPr>
              <w:pStyle w:val="TableParagraph"/>
              <w:spacing w:before="79" w:line="247" w:lineRule="auto"/>
              <w:ind w:left="23" w:right="1375"/>
              <w:rPr>
                <w:sz w:val="16"/>
              </w:rPr>
            </w:pPr>
            <w:r>
              <w:rPr>
                <w:sz w:val="16"/>
              </w:rPr>
              <w:t>IRNAC</w:t>
            </w:r>
            <w:r w:rsidR="00E556C7">
              <w:rPr>
                <w:sz w:val="16"/>
              </w:rPr>
              <w:t>-FR-</w:t>
            </w:r>
            <w:r w:rsidR="00F75866">
              <w:rPr>
                <w:sz w:val="16"/>
              </w:rPr>
              <w:t>31 Evaluation of Lead Audito</w:t>
            </w:r>
            <w:r w:rsidR="00E556C7">
              <w:rPr>
                <w:sz w:val="16"/>
              </w:rPr>
              <w:t xml:space="preserve">r by </w:t>
            </w:r>
            <w:r w:rsidR="000243D2">
              <w:rPr>
                <w:sz w:val="16"/>
              </w:rPr>
              <w:t>IRNAC</w:t>
            </w:r>
            <w:r w:rsidR="00F75866" w:rsidRPr="00F75866">
              <w:rPr>
                <w:sz w:val="16"/>
              </w:rPr>
              <w:t xml:space="preserve"> Observer</w:t>
            </w:r>
          </w:p>
          <w:p w:rsidR="00E7789C" w:rsidRDefault="00883929" w:rsidP="00F75866">
            <w:pPr>
              <w:pStyle w:val="TableParagraph"/>
              <w:spacing w:before="79" w:line="247" w:lineRule="auto"/>
              <w:ind w:left="23" w:right="1375"/>
              <w:rPr>
                <w:sz w:val="16"/>
              </w:rPr>
            </w:pPr>
            <w:r>
              <w:rPr>
                <w:sz w:val="16"/>
              </w:rPr>
              <w:t>IRNAC</w:t>
            </w:r>
            <w:r w:rsidR="00E556C7">
              <w:rPr>
                <w:sz w:val="16"/>
              </w:rPr>
              <w:t>-FR-</w:t>
            </w:r>
            <w:r w:rsidR="00F75866" w:rsidRPr="00F75866">
              <w:rPr>
                <w:sz w:val="16"/>
              </w:rPr>
              <w:t>38 Evaluation of Lead A</w:t>
            </w:r>
            <w:r w:rsidR="00F75866">
              <w:rPr>
                <w:sz w:val="16"/>
              </w:rPr>
              <w:t>uditor by Audito</w:t>
            </w:r>
            <w:r w:rsidR="00F75866" w:rsidRPr="00F75866">
              <w:rPr>
                <w:sz w:val="16"/>
              </w:rPr>
              <w:t>r</w:t>
            </w:r>
          </w:p>
          <w:p w:rsidR="00E705A7" w:rsidRDefault="00883929" w:rsidP="00F75866">
            <w:pPr>
              <w:pStyle w:val="TableParagraph"/>
              <w:spacing w:before="79" w:line="247" w:lineRule="auto"/>
              <w:ind w:left="23" w:right="1375"/>
              <w:rPr>
                <w:sz w:val="16"/>
              </w:rPr>
            </w:pPr>
            <w:r>
              <w:rPr>
                <w:sz w:val="16"/>
              </w:rPr>
              <w:t>IRNAC</w:t>
            </w:r>
            <w:r w:rsidR="00E556C7">
              <w:rPr>
                <w:sz w:val="16"/>
              </w:rPr>
              <w:t>-FR-</w:t>
            </w:r>
            <w:r w:rsidR="00E705A7" w:rsidRPr="00E705A7">
              <w:rPr>
                <w:sz w:val="16"/>
              </w:rPr>
              <w:t>57 Assessment Of The Audit Team By The Audited Organization Lead Auditor-Auditor-Internal Auditor</w:t>
            </w:r>
          </w:p>
        </w:tc>
      </w:tr>
      <w:tr w:rsidR="00E7789C" w:rsidTr="00C930ED">
        <w:trPr>
          <w:trHeight w:val="1533"/>
        </w:trPr>
        <w:tc>
          <w:tcPr>
            <w:tcW w:w="2880" w:type="dxa"/>
          </w:tcPr>
          <w:p w:rsidR="00E7789C" w:rsidRDefault="00E7789C" w:rsidP="00E7789C">
            <w:pPr>
              <w:pStyle w:val="TableParagraph"/>
              <w:spacing w:before="1"/>
              <w:rPr>
                <w:sz w:val="15"/>
              </w:rPr>
            </w:pPr>
          </w:p>
          <w:p w:rsidR="00E7789C" w:rsidRDefault="001504AD" w:rsidP="00E7789C">
            <w:pPr>
              <w:pStyle w:val="TableParagraph"/>
              <w:ind w:left="23"/>
              <w:rPr>
                <w:sz w:val="16"/>
              </w:rPr>
            </w:pPr>
            <w:r>
              <w:rPr>
                <w:sz w:val="16"/>
              </w:rPr>
              <w:t>Audit Team M</w:t>
            </w:r>
            <w:r w:rsidRPr="001504AD">
              <w:rPr>
                <w:sz w:val="16"/>
              </w:rPr>
              <w:t>embers</w:t>
            </w:r>
          </w:p>
        </w:tc>
        <w:tc>
          <w:tcPr>
            <w:tcW w:w="1664" w:type="dxa"/>
          </w:tcPr>
          <w:p w:rsidR="00E7789C" w:rsidRDefault="00E7789C" w:rsidP="00E7789C">
            <w:pPr>
              <w:pStyle w:val="TableParagraph"/>
              <w:spacing w:before="1"/>
              <w:rPr>
                <w:sz w:val="15"/>
              </w:rPr>
            </w:pPr>
          </w:p>
          <w:p w:rsidR="00E7789C" w:rsidRDefault="001504AD" w:rsidP="00E7789C">
            <w:pPr>
              <w:pStyle w:val="TableParagraph"/>
              <w:ind w:left="23"/>
              <w:rPr>
                <w:sz w:val="16"/>
              </w:rPr>
            </w:pPr>
            <w:r w:rsidRPr="001504AD">
              <w:rPr>
                <w:sz w:val="16"/>
              </w:rPr>
              <w:t xml:space="preserve">At each </w:t>
            </w:r>
            <w:r>
              <w:rPr>
                <w:sz w:val="16"/>
              </w:rPr>
              <w:t>audit</w:t>
            </w:r>
          </w:p>
        </w:tc>
        <w:tc>
          <w:tcPr>
            <w:tcW w:w="1701" w:type="dxa"/>
          </w:tcPr>
          <w:p w:rsidR="00E7789C" w:rsidRDefault="00E7789C" w:rsidP="00E7789C">
            <w:pPr>
              <w:pStyle w:val="TableParagraph"/>
              <w:spacing w:before="1"/>
              <w:rPr>
                <w:sz w:val="15"/>
              </w:rPr>
            </w:pPr>
          </w:p>
          <w:p w:rsidR="00E7789C" w:rsidRDefault="001504AD" w:rsidP="00E7789C">
            <w:pPr>
              <w:pStyle w:val="TableParagraph"/>
              <w:ind w:left="23"/>
              <w:rPr>
                <w:sz w:val="16"/>
              </w:rPr>
            </w:pPr>
            <w:r>
              <w:rPr>
                <w:color w:val="1F1F1F"/>
                <w:w w:val="105"/>
                <w:sz w:val="16"/>
              </w:rPr>
              <w:t>CAB</w:t>
            </w:r>
          </w:p>
        </w:tc>
        <w:tc>
          <w:tcPr>
            <w:tcW w:w="4512" w:type="dxa"/>
          </w:tcPr>
          <w:p w:rsidR="00E7789C" w:rsidRDefault="00883929" w:rsidP="00E7789C">
            <w:pPr>
              <w:pStyle w:val="TableParagraph"/>
              <w:spacing w:before="79" w:line="247" w:lineRule="auto"/>
              <w:ind w:left="23" w:right="1375"/>
              <w:rPr>
                <w:sz w:val="16"/>
              </w:rPr>
            </w:pPr>
            <w:r>
              <w:rPr>
                <w:sz w:val="16"/>
              </w:rPr>
              <w:t>IRNAC</w:t>
            </w:r>
            <w:r w:rsidR="00E556C7">
              <w:rPr>
                <w:sz w:val="16"/>
              </w:rPr>
              <w:t>-FR-</w:t>
            </w:r>
            <w:r w:rsidR="002410DC" w:rsidRPr="002410DC">
              <w:rPr>
                <w:sz w:val="16"/>
              </w:rPr>
              <w:t>57 Assessment Of The Audit Team By The Audited Organization Lead Auditor-Auditor-Internal Auditor</w:t>
            </w:r>
          </w:p>
        </w:tc>
      </w:tr>
      <w:tr w:rsidR="00E7789C" w:rsidTr="00C930ED">
        <w:trPr>
          <w:trHeight w:val="2577"/>
        </w:trPr>
        <w:tc>
          <w:tcPr>
            <w:tcW w:w="2880" w:type="dxa"/>
          </w:tcPr>
          <w:p w:rsidR="00E7789C" w:rsidRDefault="00E7789C" w:rsidP="00E7789C">
            <w:pPr>
              <w:pStyle w:val="TableParagraph"/>
              <w:rPr>
                <w:sz w:val="18"/>
              </w:rPr>
            </w:pPr>
          </w:p>
          <w:p w:rsidR="00E7789C" w:rsidRDefault="0071467A" w:rsidP="00E7789C">
            <w:pPr>
              <w:pStyle w:val="TableParagraph"/>
              <w:spacing w:before="1"/>
              <w:ind w:left="23"/>
              <w:rPr>
                <w:sz w:val="16"/>
              </w:rPr>
            </w:pPr>
            <w:r>
              <w:rPr>
                <w:sz w:val="16"/>
              </w:rPr>
              <w:t>Audit Team M</w:t>
            </w:r>
            <w:r w:rsidRPr="001504AD">
              <w:rPr>
                <w:sz w:val="16"/>
              </w:rPr>
              <w:t>embers</w:t>
            </w:r>
          </w:p>
        </w:tc>
        <w:tc>
          <w:tcPr>
            <w:tcW w:w="1664" w:type="dxa"/>
          </w:tcPr>
          <w:p w:rsidR="00E7789C" w:rsidRDefault="00AE6FFF" w:rsidP="00AE6FFF">
            <w:pPr>
              <w:pStyle w:val="TableParagraph"/>
              <w:spacing w:before="154" w:line="247" w:lineRule="auto"/>
              <w:ind w:left="23" w:right="127"/>
              <w:rPr>
                <w:sz w:val="16"/>
              </w:rPr>
            </w:pPr>
            <w:r>
              <w:rPr>
                <w:sz w:val="16"/>
              </w:rPr>
              <w:t>All audits in which S/H</w:t>
            </w:r>
            <w:r w:rsidRPr="00AE6FFF">
              <w:rPr>
                <w:sz w:val="16"/>
              </w:rPr>
              <w:t>e took part as a trainee in each audit (this monitoring is at least once. The trainee can be qualified as an auditor after the first audit according to the performance of the auditor.)</w:t>
            </w:r>
          </w:p>
        </w:tc>
        <w:tc>
          <w:tcPr>
            <w:tcW w:w="1701" w:type="dxa"/>
          </w:tcPr>
          <w:p w:rsidR="00E7789C" w:rsidRDefault="00E7789C" w:rsidP="00E7789C">
            <w:pPr>
              <w:pStyle w:val="TableParagraph"/>
              <w:rPr>
                <w:sz w:val="18"/>
              </w:rPr>
            </w:pPr>
          </w:p>
          <w:p w:rsidR="00E7789C" w:rsidRDefault="00E7789C" w:rsidP="00E7789C">
            <w:pPr>
              <w:pStyle w:val="TableParagraph"/>
              <w:rPr>
                <w:sz w:val="18"/>
              </w:rPr>
            </w:pPr>
          </w:p>
          <w:p w:rsidR="00E7789C" w:rsidRDefault="00CB3160" w:rsidP="00E7789C">
            <w:pPr>
              <w:pStyle w:val="TableParagraph"/>
              <w:ind w:left="297"/>
              <w:rPr>
                <w:sz w:val="16"/>
              </w:rPr>
            </w:pPr>
            <w:r>
              <w:rPr>
                <w:color w:val="1F1F1F"/>
                <w:w w:val="105"/>
                <w:sz w:val="16"/>
              </w:rPr>
              <w:t>Lead Auditor</w:t>
            </w:r>
          </w:p>
        </w:tc>
        <w:tc>
          <w:tcPr>
            <w:tcW w:w="4512" w:type="dxa"/>
          </w:tcPr>
          <w:p w:rsidR="00E7789C" w:rsidRDefault="00E7789C" w:rsidP="00E7789C">
            <w:pPr>
              <w:pStyle w:val="TableParagraph"/>
              <w:rPr>
                <w:sz w:val="18"/>
              </w:rPr>
            </w:pPr>
          </w:p>
          <w:p w:rsidR="00E7789C" w:rsidRDefault="00E7789C" w:rsidP="00E7789C">
            <w:pPr>
              <w:pStyle w:val="TableParagraph"/>
              <w:rPr>
                <w:sz w:val="18"/>
              </w:rPr>
            </w:pPr>
          </w:p>
          <w:p w:rsidR="00E7789C" w:rsidRDefault="00E7789C" w:rsidP="00E7789C">
            <w:pPr>
              <w:pStyle w:val="TableParagraph"/>
              <w:rPr>
                <w:sz w:val="18"/>
              </w:rPr>
            </w:pPr>
          </w:p>
          <w:p w:rsidR="00E7789C" w:rsidRDefault="00883929" w:rsidP="006F0ACF">
            <w:pPr>
              <w:pStyle w:val="TableParagraph"/>
              <w:ind w:left="23"/>
              <w:rPr>
                <w:sz w:val="16"/>
              </w:rPr>
            </w:pPr>
            <w:r>
              <w:rPr>
                <w:sz w:val="16"/>
              </w:rPr>
              <w:t>IRNAC</w:t>
            </w:r>
            <w:r w:rsidR="00E556C7">
              <w:rPr>
                <w:sz w:val="16"/>
              </w:rPr>
              <w:t>-FR-</w:t>
            </w:r>
            <w:r w:rsidR="006F0ACF" w:rsidRPr="006F0ACF">
              <w:rPr>
                <w:sz w:val="16"/>
              </w:rPr>
              <w:t>45 Trainer/Assistant Trainer Performance Evaluation Form</w:t>
            </w:r>
          </w:p>
        </w:tc>
      </w:tr>
      <w:tr w:rsidR="00686DC5" w:rsidTr="00001071">
        <w:trPr>
          <w:trHeight w:val="694"/>
        </w:trPr>
        <w:tc>
          <w:tcPr>
            <w:tcW w:w="2880" w:type="dxa"/>
          </w:tcPr>
          <w:p w:rsidR="00E27845" w:rsidRPr="00410A85" w:rsidRDefault="00E27845" w:rsidP="00410A85">
            <w:pPr>
              <w:pStyle w:val="TableParagraph"/>
              <w:spacing w:before="1"/>
              <w:ind w:left="23"/>
              <w:rPr>
                <w:sz w:val="16"/>
              </w:rPr>
            </w:pPr>
          </w:p>
          <w:p w:rsidR="00686DC5" w:rsidRPr="00410A85" w:rsidRDefault="000243D2" w:rsidP="00FC3AEF">
            <w:pPr>
              <w:spacing w:before="1"/>
              <w:ind w:left="23" w:firstLine="708"/>
              <w:jc w:val="center"/>
              <w:rPr>
                <w:rFonts w:ascii="Trebuchet MS" w:eastAsia="Trebuchet MS" w:hAnsi="Trebuchet MS" w:cs="Trebuchet MS"/>
                <w:sz w:val="16"/>
              </w:rPr>
            </w:pPr>
            <w:r>
              <w:rPr>
                <w:rFonts w:ascii="Trebuchet MS" w:eastAsia="Trebuchet MS" w:hAnsi="Trebuchet MS" w:cs="Trebuchet MS"/>
                <w:sz w:val="16"/>
              </w:rPr>
              <w:t>IRNAC</w:t>
            </w:r>
            <w:r w:rsidR="00E556C7">
              <w:rPr>
                <w:rFonts w:ascii="Trebuchet MS" w:eastAsia="Trebuchet MS" w:hAnsi="Trebuchet MS" w:cs="Trebuchet MS"/>
                <w:sz w:val="16"/>
              </w:rPr>
              <w:t xml:space="preserve"> </w:t>
            </w:r>
            <w:r w:rsidR="00C360CA">
              <w:rPr>
                <w:rFonts w:ascii="Trebuchet MS" w:eastAsia="Trebuchet MS" w:hAnsi="Trebuchet MS" w:cs="Trebuchet MS"/>
                <w:sz w:val="16"/>
              </w:rPr>
              <w:t>Case</w:t>
            </w:r>
            <w:r w:rsidR="00E27845" w:rsidRPr="00410A85">
              <w:rPr>
                <w:rFonts w:ascii="Trebuchet MS" w:eastAsia="Trebuchet MS" w:hAnsi="Trebuchet MS" w:cs="Trebuchet MS"/>
                <w:sz w:val="16"/>
              </w:rPr>
              <w:t xml:space="preserve"> Officer</w:t>
            </w:r>
          </w:p>
        </w:tc>
        <w:tc>
          <w:tcPr>
            <w:tcW w:w="1664" w:type="dxa"/>
          </w:tcPr>
          <w:p w:rsidR="00E27845" w:rsidRPr="00410A85" w:rsidRDefault="00E27845" w:rsidP="00410A85">
            <w:pPr>
              <w:pStyle w:val="TableParagraph"/>
              <w:spacing w:before="1"/>
              <w:ind w:left="23"/>
              <w:rPr>
                <w:sz w:val="16"/>
              </w:rPr>
            </w:pPr>
          </w:p>
          <w:p w:rsidR="00686DC5" w:rsidRPr="00410A85" w:rsidRDefault="00E27845" w:rsidP="00410A85">
            <w:pPr>
              <w:spacing w:before="1"/>
              <w:ind w:left="23"/>
              <w:rPr>
                <w:rFonts w:ascii="Trebuchet MS" w:eastAsia="Trebuchet MS" w:hAnsi="Trebuchet MS" w:cs="Trebuchet MS"/>
                <w:sz w:val="16"/>
              </w:rPr>
            </w:pPr>
            <w:r w:rsidRPr="00410A85">
              <w:rPr>
                <w:rFonts w:ascii="Trebuchet MS" w:eastAsia="Trebuchet MS" w:hAnsi="Trebuchet MS" w:cs="Trebuchet MS"/>
                <w:sz w:val="16"/>
              </w:rPr>
              <w:t>At each Audit</w:t>
            </w:r>
          </w:p>
        </w:tc>
        <w:tc>
          <w:tcPr>
            <w:tcW w:w="1701" w:type="dxa"/>
          </w:tcPr>
          <w:p w:rsidR="00E27845" w:rsidRPr="00410A85" w:rsidRDefault="00E27845" w:rsidP="00410A85">
            <w:pPr>
              <w:pStyle w:val="TableParagraph"/>
              <w:spacing w:before="1"/>
              <w:ind w:left="23"/>
              <w:rPr>
                <w:sz w:val="16"/>
              </w:rPr>
            </w:pPr>
          </w:p>
          <w:p w:rsidR="00686DC5" w:rsidRPr="00410A85" w:rsidRDefault="00E27845" w:rsidP="00410A85">
            <w:pPr>
              <w:spacing w:before="1"/>
              <w:ind w:left="23"/>
              <w:rPr>
                <w:rFonts w:ascii="Trebuchet MS" w:eastAsia="Trebuchet MS" w:hAnsi="Trebuchet MS" w:cs="Trebuchet MS"/>
                <w:sz w:val="16"/>
              </w:rPr>
            </w:pPr>
            <w:r w:rsidRPr="00410A85">
              <w:rPr>
                <w:rFonts w:ascii="Trebuchet MS" w:eastAsia="Trebuchet MS" w:hAnsi="Trebuchet MS" w:cs="Trebuchet MS"/>
                <w:sz w:val="16"/>
              </w:rPr>
              <w:t>Lead Auditor</w:t>
            </w:r>
          </w:p>
        </w:tc>
        <w:tc>
          <w:tcPr>
            <w:tcW w:w="4512" w:type="dxa"/>
          </w:tcPr>
          <w:p w:rsidR="00410A85" w:rsidRPr="00410A85" w:rsidRDefault="00410A85" w:rsidP="00410A85">
            <w:pPr>
              <w:pStyle w:val="TableParagraph"/>
              <w:spacing w:before="1"/>
              <w:ind w:left="23"/>
              <w:rPr>
                <w:sz w:val="16"/>
              </w:rPr>
            </w:pPr>
          </w:p>
          <w:p w:rsidR="00686DC5" w:rsidRPr="00410A85" w:rsidRDefault="00883929" w:rsidP="007424E0">
            <w:pPr>
              <w:spacing w:before="1"/>
              <w:ind w:left="23"/>
              <w:rPr>
                <w:rFonts w:ascii="Trebuchet MS" w:eastAsia="Trebuchet MS" w:hAnsi="Trebuchet MS" w:cs="Trebuchet MS"/>
                <w:sz w:val="16"/>
              </w:rPr>
            </w:pPr>
            <w:r>
              <w:rPr>
                <w:rFonts w:ascii="Trebuchet MS" w:eastAsia="Trebuchet MS" w:hAnsi="Trebuchet MS" w:cs="Trebuchet MS"/>
                <w:sz w:val="16"/>
              </w:rPr>
              <w:t>IRNAC</w:t>
            </w:r>
            <w:r w:rsidR="007424E0">
              <w:rPr>
                <w:rFonts w:ascii="Trebuchet MS" w:eastAsia="Trebuchet MS" w:hAnsi="Trebuchet MS" w:cs="Trebuchet MS"/>
                <w:sz w:val="16"/>
              </w:rPr>
              <w:t>-FR-</w:t>
            </w:r>
            <w:r w:rsidR="00410A85" w:rsidRPr="00410A85">
              <w:rPr>
                <w:rFonts w:ascii="Trebuchet MS" w:eastAsia="Trebuchet MS" w:hAnsi="Trebuchet MS" w:cs="Trebuchet MS"/>
                <w:sz w:val="16"/>
              </w:rPr>
              <w:t xml:space="preserve">67 Evaluation of the </w:t>
            </w:r>
            <w:r w:rsidR="000243D2">
              <w:rPr>
                <w:rFonts w:ascii="Trebuchet MS" w:eastAsia="Trebuchet MS" w:hAnsi="Trebuchet MS" w:cs="Trebuchet MS"/>
                <w:sz w:val="16"/>
              </w:rPr>
              <w:t>IRNAC</w:t>
            </w:r>
            <w:r w:rsidR="007424E0">
              <w:rPr>
                <w:rFonts w:ascii="Trebuchet MS" w:eastAsia="Trebuchet MS" w:hAnsi="Trebuchet MS" w:cs="Trebuchet MS"/>
                <w:sz w:val="16"/>
              </w:rPr>
              <w:t xml:space="preserve"> </w:t>
            </w:r>
            <w:r w:rsidR="00410A85" w:rsidRPr="00410A85">
              <w:rPr>
                <w:rFonts w:ascii="Trebuchet MS" w:eastAsia="Trebuchet MS" w:hAnsi="Trebuchet MS" w:cs="Trebuchet MS"/>
                <w:sz w:val="16"/>
              </w:rPr>
              <w:t>Case Officer by the Lead Auditor</w:t>
            </w:r>
          </w:p>
        </w:tc>
      </w:tr>
      <w:tr w:rsidR="00686DC5" w:rsidTr="00C930ED">
        <w:trPr>
          <w:trHeight w:val="691"/>
        </w:trPr>
        <w:tc>
          <w:tcPr>
            <w:tcW w:w="2880" w:type="dxa"/>
          </w:tcPr>
          <w:p w:rsidR="007D7A64" w:rsidRDefault="007D7A64" w:rsidP="007D7A64">
            <w:pPr>
              <w:pStyle w:val="TableParagraph"/>
              <w:spacing w:before="1"/>
              <w:ind w:left="23"/>
              <w:rPr>
                <w:sz w:val="16"/>
              </w:rPr>
            </w:pPr>
          </w:p>
          <w:p w:rsidR="00686DC5" w:rsidRPr="00410A85" w:rsidRDefault="000243D2" w:rsidP="007D7A64">
            <w:pPr>
              <w:pStyle w:val="TableParagraph"/>
              <w:spacing w:before="1"/>
              <w:ind w:left="23"/>
              <w:rPr>
                <w:sz w:val="16"/>
              </w:rPr>
            </w:pPr>
            <w:r>
              <w:rPr>
                <w:sz w:val="16"/>
              </w:rPr>
              <w:t>IRNAC</w:t>
            </w:r>
            <w:r w:rsidR="007424E0">
              <w:rPr>
                <w:sz w:val="16"/>
              </w:rPr>
              <w:t xml:space="preserve"> </w:t>
            </w:r>
            <w:r w:rsidR="007D7A64">
              <w:rPr>
                <w:sz w:val="16"/>
              </w:rPr>
              <w:t>Case</w:t>
            </w:r>
            <w:r w:rsidR="007D7A64" w:rsidRPr="00410A85">
              <w:rPr>
                <w:sz w:val="16"/>
              </w:rPr>
              <w:t xml:space="preserve"> Officer</w:t>
            </w:r>
          </w:p>
        </w:tc>
        <w:tc>
          <w:tcPr>
            <w:tcW w:w="1664" w:type="dxa"/>
          </w:tcPr>
          <w:p w:rsidR="007D7A64" w:rsidRDefault="007D7A64" w:rsidP="007D7A64">
            <w:pPr>
              <w:pStyle w:val="TableParagraph"/>
              <w:spacing w:before="1"/>
              <w:ind w:left="23"/>
              <w:rPr>
                <w:sz w:val="16"/>
              </w:rPr>
            </w:pPr>
          </w:p>
          <w:p w:rsidR="00686DC5" w:rsidRPr="007D7A64" w:rsidRDefault="007D7A64" w:rsidP="007D7A64">
            <w:r w:rsidRPr="00410A85">
              <w:rPr>
                <w:rFonts w:ascii="Trebuchet MS" w:eastAsia="Trebuchet MS" w:hAnsi="Trebuchet MS" w:cs="Trebuchet MS"/>
                <w:sz w:val="16"/>
              </w:rPr>
              <w:t>At each Audit</w:t>
            </w:r>
          </w:p>
        </w:tc>
        <w:tc>
          <w:tcPr>
            <w:tcW w:w="1701" w:type="dxa"/>
          </w:tcPr>
          <w:p w:rsidR="007D7A64" w:rsidRDefault="007D7A64" w:rsidP="007D7A64">
            <w:pPr>
              <w:pStyle w:val="TableParagraph"/>
              <w:spacing w:before="1"/>
              <w:ind w:left="23"/>
              <w:rPr>
                <w:sz w:val="16"/>
              </w:rPr>
            </w:pPr>
          </w:p>
          <w:p w:rsidR="00686DC5" w:rsidRPr="00410A85" w:rsidRDefault="007D7A64" w:rsidP="007D7A64">
            <w:pPr>
              <w:pStyle w:val="TableParagraph"/>
              <w:spacing w:before="1"/>
              <w:ind w:left="23"/>
              <w:rPr>
                <w:sz w:val="16"/>
              </w:rPr>
            </w:pPr>
            <w:r w:rsidRPr="007D7A64">
              <w:rPr>
                <w:sz w:val="16"/>
              </w:rPr>
              <w:t>Audited Entity</w:t>
            </w:r>
          </w:p>
        </w:tc>
        <w:tc>
          <w:tcPr>
            <w:tcW w:w="4512" w:type="dxa"/>
          </w:tcPr>
          <w:p w:rsidR="00376795" w:rsidRDefault="00376795" w:rsidP="00410A85">
            <w:pPr>
              <w:pStyle w:val="TableParagraph"/>
              <w:spacing w:before="1"/>
              <w:ind w:left="23"/>
              <w:rPr>
                <w:sz w:val="16"/>
              </w:rPr>
            </w:pPr>
          </w:p>
          <w:p w:rsidR="00686DC5" w:rsidRPr="00376795" w:rsidRDefault="00883929" w:rsidP="007424E0">
            <w:pPr>
              <w:pStyle w:val="TableParagraph"/>
              <w:spacing w:before="1"/>
              <w:ind w:left="23"/>
            </w:pPr>
            <w:r>
              <w:rPr>
                <w:sz w:val="16"/>
              </w:rPr>
              <w:t>IRNAC</w:t>
            </w:r>
            <w:r w:rsidR="007424E0">
              <w:rPr>
                <w:sz w:val="16"/>
              </w:rPr>
              <w:t>-FR-</w:t>
            </w:r>
            <w:r w:rsidR="00376795" w:rsidRPr="00376795">
              <w:rPr>
                <w:sz w:val="16"/>
              </w:rPr>
              <w:t xml:space="preserve">58 Evaluation of the </w:t>
            </w:r>
            <w:r w:rsidR="000243D2">
              <w:rPr>
                <w:sz w:val="16"/>
              </w:rPr>
              <w:t>IRNAC</w:t>
            </w:r>
            <w:r w:rsidR="007424E0">
              <w:rPr>
                <w:sz w:val="16"/>
              </w:rPr>
              <w:t xml:space="preserve"> </w:t>
            </w:r>
            <w:r w:rsidR="00376795" w:rsidRPr="00376795">
              <w:rPr>
                <w:sz w:val="16"/>
              </w:rPr>
              <w:t>Case Officer by the Audited Entit</w:t>
            </w:r>
            <w:r w:rsidR="00376795">
              <w:rPr>
                <w:sz w:val="16"/>
              </w:rPr>
              <w:t>y</w:t>
            </w:r>
          </w:p>
        </w:tc>
      </w:tr>
      <w:tr w:rsidR="00686DC5" w:rsidTr="00FD29D9">
        <w:trPr>
          <w:trHeight w:val="2745"/>
        </w:trPr>
        <w:tc>
          <w:tcPr>
            <w:tcW w:w="2880" w:type="dxa"/>
          </w:tcPr>
          <w:p w:rsidR="00686DC5" w:rsidRPr="00410A85" w:rsidRDefault="00BE7C62" w:rsidP="00410A85">
            <w:pPr>
              <w:pStyle w:val="TableParagraph"/>
              <w:spacing w:before="1"/>
              <w:ind w:left="23"/>
              <w:rPr>
                <w:sz w:val="16"/>
              </w:rPr>
            </w:pPr>
            <w:r w:rsidRPr="00BE7C62">
              <w:rPr>
                <w:sz w:val="16"/>
              </w:rPr>
              <w:t>Monitoring the members of the Accreditation Decision Committee</w:t>
            </w:r>
          </w:p>
        </w:tc>
        <w:tc>
          <w:tcPr>
            <w:tcW w:w="1664" w:type="dxa"/>
          </w:tcPr>
          <w:p w:rsidR="00686DC5" w:rsidRPr="00410A85" w:rsidRDefault="00BE7C62" w:rsidP="00410A85">
            <w:pPr>
              <w:pStyle w:val="TableParagraph"/>
              <w:spacing w:before="1"/>
              <w:ind w:left="23"/>
              <w:rPr>
                <w:sz w:val="16"/>
              </w:rPr>
            </w:pPr>
            <w:r w:rsidRPr="00BE7C62">
              <w:rPr>
                <w:sz w:val="16"/>
              </w:rPr>
              <w:t>at least once a year</w:t>
            </w:r>
          </w:p>
        </w:tc>
        <w:tc>
          <w:tcPr>
            <w:tcW w:w="1701" w:type="dxa"/>
          </w:tcPr>
          <w:p w:rsidR="00686DC5" w:rsidRPr="00410A85" w:rsidRDefault="00BE7C62" w:rsidP="00410A85">
            <w:pPr>
              <w:pStyle w:val="TableParagraph"/>
              <w:spacing w:before="1"/>
              <w:ind w:left="23"/>
              <w:rPr>
                <w:sz w:val="16"/>
              </w:rPr>
            </w:pPr>
            <w:r w:rsidRPr="00BE7C62">
              <w:rPr>
                <w:sz w:val="16"/>
              </w:rPr>
              <w:t>Decision Committee Monitoring Team</w:t>
            </w:r>
          </w:p>
        </w:tc>
        <w:tc>
          <w:tcPr>
            <w:tcW w:w="4512" w:type="dxa"/>
          </w:tcPr>
          <w:p w:rsidR="00686DC5" w:rsidRPr="00410A85" w:rsidRDefault="00883929" w:rsidP="00410A85">
            <w:pPr>
              <w:pStyle w:val="TableParagraph"/>
              <w:spacing w:before="1"/>
              <w:ind w:left="23"/>
              <w:rPr>
                <w:sz w:val="16"/>
              </w:rPr>
            </w:pPr>
            <w:r>
              <w:rPr>
                <w:sz w:val="16"/>
              </w:rPr>
              <w:t>IRNAC</w:t>
            </w:r>
            <w:r w:rsidR="007424E0">
              <w:rPr>
                <w:sz w:val="16"/>
              </w:rPr>
              <w:t>-FR-</w:t>
            </w:r>
            <w:r w:rsidR="00EF6E6A" w:rsidRPr="00EF6E6A">
              <w:rPr>
                <w:sz w:val="16"/>
              </w:rPr>
              <w:t>30 Accreditation Decision Committee Members Performance Monitoring Form</w:t>
            </w:r>
          </w:p>
        </w:tc>
      </w:tr>
    </w:tbl>
    <w:p w:rsidR="007C0E8E" w:rsidRDefault="00363112" w:rsidP="006576DF">
      <w:pPr>
        <w:rPr>
          <w:lang w:val="en-US"/>
        </w:rPr>
      </w:pPr>
      <w:r w:rsidRPr="00363112">
        <w:rPr>
          <w:lang w:val="en-US"/>
        </w:rPr>
        <w:t xml:space="preserve">Performance monitoring of the personnel involved in the accreditation process is planned as </w:t>
      </w:r>
    </w:p>
    <w:p w:rsidR="00363112" w:rsidRDefault="00363112" w:rsidP="006576DF">
      <w:pPr>
        <w:rPr>
          <w:lang w:val="en-US"/>
        </w:rPr>
      </w:pPr>
    </w:p>
    <w:p w:rsidR="00D05AA1" w:rsidRDefault="00D05AA1" w:rsidP="006576DF">
      <w:pPr>
        <w:rPr>
          <w:lang w:val="en-US"/>
        </w:rPr>
      </w:pPr>
      <w:r w:rsidRPr="00D05AA1">
        <w:rPr>
          <w:lang w:val="en-US"/>
        </w:rPr>
        <w:t xml:space="preserve">All the forms used for the above-mentioned monitoring activities are produced by the </w:t>
      </w:r>
      <w:r w:rsidR="000243D2">
        <w:rPr>
          <w:lang w:val="en-US"/>
        </w:rPr>
        <w:t>IRNAC</w:t>
      </w:r>
      <w:r w:rsidR="00BF4486">
        <w:rPr>
          <w:lang w:val="en-US"/>
        </w:rPr>
        <w:t xml:space="preserve"> </w:t>
      </w:r>
      <w:r w:rsidRPr="00D05AA1">
        <w:rPr>
          <w:lang w:val="en-US"/>
        </w:rPr>
        <w:t>information system and transmitted to the relevant parties electronically. Responses to the assessments are recorded directly in the database. Any additional records (reports, etc.) issued in addition to the evaluation forms should be forwarded to the relevant Accreditation Department.</w:t>
      </w:r>
    </w:p>
    <w:p w:rsidR="0004579E" w:rsidRDefault="009940ED" w:rsidP="0004579E">
      <w:pPr>
        <w:rPr>
          <w:lang w:val="en-US"/>
        </w:rPr>
      </w:pPr>
      <w:r w:rsidRPr="009940ED">
        <w:rPr>
          <w:lang w:val="en-US"/>
        </w:rPr>
        <w:t>5.2.1. Evaluation</w:t>
      </w:r>
    </w:p>
    <w:p w:rsidR="008503FC" w:rsidRDefault="00BA3257" w:rsidP="0004579E">
      <w:pPr>
        <w:rPr>
          <w:lang w:val="en-US"/>
        </w:rPr>
      </w:pPr>
      <w:r w:rsidRPr="00BA3257">
        <w:rPr>
          <w:lang w:val="en-US"/>
        </w:rPr>
        <w:t>Evaluation points ranging from 5 to 1 are given in the performance evaluations that are scored. (5 Best - 1 Worst). The performance of the commission assigned during the audit is evaluated with electronically transmitted scoring; As a result of the examination of the electronically transmitted performance evaluation data by the relevant Accreditation Department, if any evaluation criterion is less than 3, an investigation is initiated.</w:t>
      </w:r>
    </w:p>
    <w:p w:rsidR="00F66F2F" w:rsidRDefault="00D52D60" w:rsidP="0004579E">
      <w:pPr>
        <w:rPr>
          <w:lang w:val="en-US"/>
        </w:rPr>
      </w:pPr>
      <w:r w:rsidRPr="00D52D60">
        <w:rPr>
          <w:lang w:val="en-US"/>
        </w:rPr>
        <w:t>Since the performance evaluation is made by the</w:t>
      </w:r>
      <w:r w:rsidR="00BF4486">
        <w:rPr>
          <w:lang w:val="en-US"/>
        </w:rPr>
        <w:t xml:space="preserve"> </w:t>
      </w:r>
      <w:r w:rsidR="000243D2">
        <w:rPr>
          <w:lang w:val="en-US"/>
        </w:rPr>
        <w:t>IRNAC</w:t>
      </w:r>
      <w:r w:rsidR="00BF4486">
        <w:rPr>
          <w:lang w:val="en-US"/>
        </w:rPr>
        <w:t xml:space="preserve"> </w:t>
      </w:r>
      <w:r w:rsidRPr="00D52D60">
        <w:rPr>
          <w:lang w:val="en-US"/>
        </w:rPr>
        <w:t>, CAB and the lead auditor, if any criterion is below 3 points, a cross-check is provided by taking into account the evaluations made by other evaluators for the same criteria.</w:t>
      </w:r>
    </w:p>
    <w:p w:rsidR="00206924" w:rsidRDefault="00206924" w:rsidP="0004579E">
      <w:pPr>
        <w:rPr>
          <w:lang w:val="en-US"/>
        </w:rPr>
      </w:pPr>
      <w:r w:rsidRPr="00206924">
        <w:rPr>
          <w:lang w:val="en-US"/>
        </w:rPr>
        <w:t xml:space="preserve">The performance evaluations of the members of the audit team taking part in the audits are not limited to the scoring given in the assessment forms. Evaluation forms include a general evaluation section to define the strengths and weaknesses of the auditors. This section must be filled by the person making the observation. In this section, the person making the observation is the audit team member; </w:t>
      </w:r>
      <w:proofErr w:type="gramStart"/>
      <w:r w:rsidRPr="00206924">
        <w:rPr>
          <w:lang w:val="en-US"/>
        </w:rPr>
        <w:t>It</w:t>
      </w:r>
      <w:proofErr w:type="gramEnd"/>
      <w:r w:rsidRPr="00206924">
        <w:rPr>
          <w:lang w:val="en-US"/>
        </w:rPr>
        <w:t xml:space="preserve"> evaluates audit techniques, accreditation standard subject to audit, knowledge and skills regarding the technical field within the scope of the audit, and personal characteristics based on objective data.</w:t>
      </w:r>
    </w:p>
    <w:p w:rsidR="00F60FE5" w:rsidRDefault="00F60FE5" w:rsidP="0004579E">
      <w:pPr>
        <w:rPr>
          <w:lang w:val="en-US"/>
        </w:rPr>
      </w:pPr>
      <w:r w:rsidRPr="00F60FE5">
        <w:rPr>
          <w:lang w:val="en-US"/>
        </w:rPr>
        <w:t xml:space="preserve">In order to continuously control the performance of the personnel involved in the accreditation process, reports are obtained from the database of the relevant Accreditation Departments every </w:t>
      </w:r>
      <w:r w:rsidR="0007256C">
        <w:rPr>
          <w:lang w:val="en-US"/>
        </w:rPr>
        <w:t xml:space="preserve">6 </w:t>
      </w:r>
      <w:r w:rsidRPr="00F60FE5">
        <w:rPr>
          <w:lang w:val="en-US"/>
        </w:rPr>
        <w:t xml:space="preserve">month. This report is evaluated in terms of defining the training needs of the audit team members and determining that the competencies are maintained. As a result of the evaluation, the </w:t>
      </w:r>
      <w:r w:rsidRPr="00F60FE5">
        <w:rPr>
          <w:lang w:val="en-US"/>
        </w:rPr>
        <w:lastRenderedPageBreak/>
        <w:t>Accreditation Departments take the necessary decisions about the person and start the relevant studies and inform the relevant people when necessary.</w:t>
      </w:r>
    </w:p>
    <w:p w:rsidR="00F60FE5" w:rsidRDefault="00F313BB" w:rsidP="0004579E">
      <w:pPr>
        <w:rPr>
          <w:lang w:val="en-US"/>
        </w:rPr>
      </w:pPr>
      <w:r w:rsidRPr="00F313BB">
        <w:rPr>
          <w:lang w:val="en-US"/>
        </w:rPr>
        <w:t>In addition, the auditor pool is evaluated at least once a year with the participati</w:t>
      </w:r>
      <w:r w:rsidR="00074111">
        <w:rPr>
          <w:lang w:val="en-US"/>
        </w:rPr>
        <w:t>on of the accreditation body</w:t>
      </w:r>
      <w:r>
        <w:rPr>
          <w:lang w:val="en-US"/>
        </w:rPr>
        <w:t>, the Director and the Vice</w:t>
      </w:r>
      <w:r w:rsidRPr="00F313BB">
        <w:rPr>
          <w:lang w:val="en-US"/>
        </w:rPr>
        <w:t xml:space="preserve"> Director. For this purpose, auditors/technical experts who have not been assigned for more than 2 years are determined annually and planning is made to assign these people to appropriate audits.</w:t>
      </w:r>
    </w:p>
    <w:p w:rsidR="00AA4117" w:rsidRDefault="00AA4117" w:rsidP="0004579E">
      <w:pPr>
        <w:rPr>
          <w:lang w:val="en-US"/>
        </w:rPr>
      </w:pPr>
      <w:r w:rsidRPr="00AA4117">
        <w:rPr>
          <w:lang w:val="en-US"/>
        </w:rPr>
        <w:t>More than 3 years have passed since the appointment as an Auditor/Technical Expert or the review of his competence / in order for auditors/technical experts who have not been assigned to audits in the last 3 years, their competencies must be renewed and verified by renewing their appointment.</w:t>
      </w:r>
    </w:p>
    <w:p w:rsidR="00415CCA" w:rsidRPr="00415CCA" w:rsidRDefault="00415CCA" w:rsidP="00415CCA">
      <w:pPr>
        <w:rPr>
          <w:lang w:val="en-US"/>
        </w:rPr>
      </w:pPr>
      <w:r w:rsidRPr="00415CCA">
        <w:rPr>
          <w:lang w:val="en-US"/>
        </w:rPr>
        <w:t>5.3 Self Improvement Trainings</w:t>
      </w:r>
    </w:p>
    <w:p w:rsidR="00A754F8" w:rsidRDefault="000243D2" w:rsidP="00415CCA">
      <w:pPr>
        <w:rPr>
          <w:lang w:val="en-US"/>
        </w:rPr>
      </w:pPr>
      <w:r>
        <w:rPr>
          <w:lang w:val="en-US"/>
        </w:rPr>
        <w:t>IRNAC</w:t>
      </w:r>
      <w:r w:rsidR="00BF4486">
        <w:rPr>
          <w:lang w:val="en-US"/>
        </w:rPr>
        <w:t xml:space="preserve"> </w:t>
      </w:r>
      <w:r w:rsidR="00415CCA" w:rsidRPr="00415CCA">
        <w:rPr>
          <w:lang w:val="en-US"/>
        </w:rPr>
        <w:t xml:space="preserve">organizes self-development trainings for auditors and technical experts at least once a year. The aim of this training is to share mutual experiences and to convey the changes in the accreditation system. Participation in this annual training is compulsory. A certificate of participation in self-development training received from another Accreditation </w:t>
      </w:r>
      <w:r w:rsidR="006B4706">
        <w:rPr>
          <w:lang w:val="en-US"/>
        </w:rPr>
        <w:t>body</w:t>
      </w:r>
      <w:r w:rsidR="00415CCA" w:rsidRPr="00415CCA">
        <w:rPr>
          <w:lang w:val="en-US"/>
        </w:rPr>
        <w:t xml:space="preserve"> is accepted by the</w:t>
      </w:r>
      <w:r w:rsidR="00BF4486">
        <w:rPr>
          <w:lang w:val="en-US"/>
        </w:rPr>
        <w:t xml:space="preserve"> </w:t>
      </w:r>
      <w:r>
        <w:rPr>
          <w:lang w:val="en-US"/>
        </w:rPr>
        <w:t>IRNAC</w:t>
      </w:r>
    </w:p>
    <w:sectPr w:rsidR="00A754F8" w:rsidSect="00F037E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84" w:rsidRDefault="001A0084" w:rsidP="00322B54">
      <w:pPr>
        <w:spacing w:after="0" w:line="240" w:lineRule="auto"/>
      </w:pPr>
      <w:r>
        <w:separator/>
      </w:r>
    </w:p>
  </w:endnote>
  <w:endnote w:type="continuationSeparator" w:id="0">
    <w:p w:rsidR="001A0084" w:rsidRDefault="001A0084" w:rsidP="0032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DejaVu Sans Condensed">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C5" w:rsidRDefault="00EA4E5C">
    <w:pPr>
      <w:pStyle w:val="AltBilgi"/>
    </w:pPr>
    <w:r>
      <w:t>IRNAC-P-25.01/04/2023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84" w:rsidRDefault="001A0084" w:rsidP="00322B54">
      <w:pPr>
        <w:spacing w:after="0" w:line="240" w:lineRule="auto"/>
      </w:pPr>
      <w:r>
        <w:separator/>
      </w:r>
    </w:p>
  </w:footnote>
  <w:footnote w:type="continuationSeparator" w:id="0">
    <w:p w:rsidR="001A0084" w:rsidRDefault="001A0084" w:rsidP="0032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43"/>
      <w:gridCol w:w="5036"/>
      <w:gridCol w:w="1136"/>
      <w:gridCol w:w="1365"/>
    </w:tblGrid>
    <w:tr w:rsidR="00AA435A" w:rsidRPr="00AA435A" w:rsidTr="00EA4E5C">
      <w:trPr>
        <w:trHeight w:val="144"/>
      </w:trPr>
      <w:tc>
        <w:tcPr>
          <w:tcW w:w="1844" w:type="dxa"/>
          <w:vMerge w:val="restart"/>
        </w:tcPr>
        <w:p w:rsidR="00AA435A" w:rsidRPr="00AA435A" w:rsidRDefault="00EA4E5C" w:rsidP="00AA435A">
          <w:pPr>
            <w:tabs>
              <w:tab w:val="center" w:pos="4536"/>
              <w:tab w:val="right" w:pos="9072"/>
            </w:tabs>
            <w:adjustRightInd w:val="0"/>
            <w:rPr>
              <w:rFonts w:ascii="DejaVu Sans Condensed" w:eastAsia="Courier New" w:hAnsi="DejaVu Sans Condensed" w:cstheme="minorBidi"/>
              <w:b/>
              <w:sz w:val="32"/>
              <w:szCs w:val="32"/>
            </w:rPr>
          </w:pPr>
          <w:r w:rsidRPr="0085007F">
            <w:rPr>
              <w:noProof/>
            </w:rPr>
            <w:drawing>
              <wp:inline distT="0" distB="0" distL="0" distR="0" wp14:anchorId="27EA0011" wp14:editId="571149D7">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AA435A" w:rsidRPr="00AA435A" w:rsidRDefault="00AA435A" w:rsidP="00AA435A">
          <w:pPr>
            <w:adjustRightInd w:val="0"/>
            <w:rPr>
              <w:rFonts w:ascii="DejaVu Sans Condensed" w:eastAsia="Courier New" w:hAnsi="DejaVu Sans Condensed" w:cstheme="minorBidi"/>
              <w:sz w:val="24"/>
              <w:szCs w:val="24"/>
              <w:lang w:val="en-US"/>
            </w:rPr>
          </w:pPr>
        </w:p>
        <w:p w:rsidR="00AA435A" w:rsidRPr="00AA435A" w:rsidRDefault="00AA435A" w:rsidP="00AA435A">
          <w:pPr>
            <w:adjustRightInd w:val="0"/>
            <w:jc w:val="center"/>
            <w:rPr>
              <w:rFonts w:ascii="DejaVu Sans Condensed" w:eastAsia="Courier New" w:hAnsi="DejaVu Sans Condensed" w:cstheme="minorBidi"/>
              <w:sz w:val="24"/>
              <w:szCs w:val="24"/>
              <w:lang w:val="en-US"/>
            </w:rPr>
          </w:pPr>
        </w:p>
      </w:tc>
      <w:tc>
        <w:tcPr>
          <w:tcW w:w="5260" w:type="dxa"/>
          <w:vMerge w:val="restart"/>
        </w:tcPr>
        <w:p w:rsidR="00AA435A" w:rsidRPr="00AA435A" w:rsidRDefault="00EA4E5C" w:rsidP="00AA435A">
          <w:pPr>
            <w:tabs>
              <w:tab w:val="center" w:pos="4536"/>
              <w:tab w:val="right" w:pos="9072"/>
            </w:tabs>
            <w:adjustRightInd w:val="0"/>
            <w:jc w:val="center"/>
            <w:rPr>
              <w:rFonts w:ascii="Verdana" w:eastAsiaTheme="minorHAnsi" w:hAnsi="Verdana" w:cstheme="minorBidi"/>
              <w:b/>
              <w:sz w:val="24"/>
              <w:szCs w:val="24"/>
            </w:rPr>
          </w:pPr>
          <w:r>
            <w:rPr>
              <w:rFonts w:ascii="Verdana" w:eastAsiaTheme="minorHAnsi" w:hAnsi="Verdana" w:cstheme="minorBidi"/>
              <w:b/>
              <w:sz w:val="24"/>
              <w:szCs w:val="24"/>
            </w:rPr>
            <w:t>IRNAC</w:t>
          </w:r>
        </w:p>
        <w:p w:rsidR="00EA4E5C" w:rsidRDefault="00EA4E5C" w:rsidP="00AA435A">
          <w:pPr>
            <w:tabs>
              <w:tab w:val="center" w:pos="4536"/>
              <w:tab w:val="right" w:pos="9072"/>
            </w:tabs>
            <w:adjustRightInd w:val="0"/>
            <w:jc w:val="center"/>
            <w:rPr>
              <w:rFonts w:ascii="DejaVu Sans Condensed" w:eastAsia="Courier New" w:hAnsi="DejaVu Sans Condensed" w:cstheme="minorBidi"/>
              <w:b/>
              <w:sz w:val="24"/>
              <w:szCs w:val="24"/>
            </w:rPr>
          </w:pPr>
        </w:p>
        <w:p w:rsidR="00AA435A" w:rsidRPr="00AA435A" w:rsidRDefault="00AA435A" w:rsidP="00AA435A">
          <w:pPr>
            <w:tabs>
              <w:tab w:val="center" w:pos="4536"/>
              <w:tab w:val="right" w:pos="9072"/>
            </w:tabs>
            <w:adjustRightInd w:val="0"/>
            <w:jc w:val="center"/>
            <w:rPr>
              <w:rFonts w:ascii="DejaVu Sans Condensed" w:eastAsia="Courier New" w:hAnsi="DejaVu Sans Condensed" w:cstheme="minorBidi"/>
              <w:b/>
              <w:sz w:val="24"/>
              <w:szCs w:val="24"/>
            </w:rPr>
          </w:pPr>
          <w:proofErr w:type="spellStart"/>
          <w:r w:rsidRPr="00AA435A">
            <w:rPr>
              <w:rFonts w:ascii="DejaVu Sans Condensed" w:eastAsia="Courier New" w:hAnsi="DejaVu Sans Condensed" w:cstheme="minorBidi"/>
              <w:b/>
              <w:sz w:val="24"/>
              <w:szCs w:val="24"/>
            </w:rPr>
            <w:t>Performance</w:t>
          </w:r>
          <w:proofErr w:type="spellEnd"/>
          <w:r w:rsidRPr="00AA435A">
            <w:rPr>
              <w:rFonts w:ascii="DejaVu Sans Condensed" w:eastAsia="Courier New" w:hAnsi="DejaVu Sans Condensed" w:cstheme="minorBidi"/>
              <w:b/>
              <w:sz w:val="24"/>
              <w:szCs w:val="24"/>
            </w:rPr>
            <w:t xml:space="preserve"> </w:t>
          </w:r>
          <w:proofErr w:type="spellStart"/>
          <w:r w:rsidRPr="00AA435A">
            <w:rPr>
              <w:rFonts w:ascii="DejaVu Sans Condensed" w:eastAsia="Courier New" w:hAnsi="DejaVu Sans Condensed" w:cstheme="minorBidi"/>
              <w:b/>
              <w:sz w:val="24"/>
              <w:szCs w:val="24"/>
            </w:rPr>
            <w:t>Monitoring</w:t>
          </w:r>
          <w:proofErr w:type="spellEnd"/>
          <w:r w:rsidRPr="00AA435A">
            <w:rPr>
              <w:rFonts w:ascii="DejaVu Sans Condensed" w:eastAsia="Courier New" w:hAnsi="DejaVu Sans Condensed" w:cstheme="minorBidi"/>
              <w:b/>
              <w:sz w:val="24"/>
              <w:szCs w:val="24"/>
            </w:rPr>
            <w:t xml:space="preserve"> </w:t>
          </w:r>
          <w:proofErr w:type="spellStart"/>
          <w:r w:rsidRPr="00AA435A">
            <w:rPr>
              <w:rFonts w:ascii="DejaVu Sans Condensed" w:eastAsia="Courier New" w:hAnsi="DejaVu Sans Condensed" w:cstheme="minorBidi"/>
              <w:b/>
              <w:sz w:val="24"/>
              <w:szCs w:val="24"/>
            </w:rPr>
            <w:t>and</w:t>
          </w:r>
          <w:proofErr w:type="spellEnd"/>
          <w:r w:rsidRPr="00AA435A">
            <w:rPr>
              <w:rFonts w:ascii="DejaVu Sans Condensed" w:eastAsia="Courier New" w:hAnsi="DejaVu Sans Condensed" w:cstheme="minorBidi"/>
              <w:b/>
              <w:sz w:val="24"/>
              <w:szCs w:val="24"/>
            </w:rPr>
            <w:t xml:space="preserve"> Evaluation </w:t>
          </w:r>
          <w:proofErr w:type="spellStart"/>
          <w:r w:rsidRPr="00AA435A">
            <w:rPr>
              <w:rFonts w:ascii="DejaVu Sans Condensed" w:eastAsia="Courier New" w:hAnsi="DejaVu Sans Condensed" w:cstheme="minorBidi"/>
              <w:b/>
              <w:sz w:val="24"/>
              <w:szCs w:val="24"/>
            </w:rPr>
            <w:t>Procedure</w:t>
          </w:r>
          <w:proofErr w:type="spellEnd"/>
          <w:r w:rsidRPr="00AA435A">
            <w:rPr>
              <w:rFonts w:ascii="DejaVu Sans Condensed" w:eastAsia="Courier New" w:hAnsi="DejaVu Sans Condensed" w:cstheme="minorBidi"/>
              <w:b/>
              <w:sz w:val="24"/>
              <w:szCs w:val="24"/>
            </w:rPr>
            <w:t xml:space="preserve"> of </w:t>
          </w:r>
          <w:proofErr w:type="spellStart"/>
          <w:r w:rsidRPr="00AA435A">
            <w:rPr>
              <w:rFonts w:ascii="DejaVu Sans Condensed" w:eastAsia="Courier New" w:hAnsi="DejaVu Sans Condensed" w:cstheme="minorBidi"/>
              <w:b/>
              <w:sz w:val="24"/>
              <w:szCs w:val="24"/>
            </w:rPr>
            <w:t>Personnel</w:t>
          </w:r>
          <w:proofErr w:type="spellEnd"/>
          <w:r w:rsidRPr="00AA435A">
            <w:rPr>
              <w:rFonts w:ascii="DejaVu Sans Condensed" w:eastAsia="Courier New" w:hAnsi="DejaVu Sans Condensed" w:cstheme="minorBidi"/>
              <w:b/>
              <w:sz w:val="24"/>
              <w:szCs w:val="24"/>
            </w:rPr>
            <w:t xml:space="preserve"> </w:t>
          </w:r>
          <w:proofErr w:type="spellStart"/>
          <w:r w:rsidRPr="00AA435A">
            <w:rPr>
              <w:rFonts w:ascii="DejaVu Sans Condensed" w:eastAsia="Courier New" w:hAnsi="DejaVu Sans Condensed" w:cstheme="minorBidi"/>
              <w:b/>
              <w:sz w:val="24"/>
              <w:szCs w:val="24"/>
            </w:rPr>
            <w:t>Involved</w:t>
          </w:r>
          <w:proofErr w:type="spellEnd"/>
          <w:r w:rsidRPr="00AA435A">
            <w:rPr>
              <w:rFonts w:ascii="DejaVu Sans Condensed" w:eastAsia="Courier New" w:hAnsi="DejaVu Sans Condensed" w:cstheme="minorBidi"/>
              <w:b/>
              <w:sz w:val="24"/>
              <w:szCs w:val="24"/>
            </w:rPr>
            <w:t xml:space="preserve"> in </w:t>
          </w:r>
          <w:proofErr w:type="spellStart"/>
          <w:r w:rsidRPr="00AA435A">
            <w:rPr>
              <w:rFonts w:ascii="DejaVu Sans Condensed" w:eastAsia="Courier New" w:hAnsi="DejaVu Sans Condensed" w:cstheme="minorBidi"/>
              <w:b/>
              <w:sz w:val="24"/>
              <w:szCs w:val="24"/>
            </w:rPr>
            <w:t>the</w:t>
          </w:r>
          <w:proofErr w:type="spellEnd"/>
          <w:r w:rsidRPr="00AA435A">
            <w:rPr>
              <w:rFonts w:ascii="DejaVu Sans Condensed" w:eastAsia="Courier New" w:hAnsi="DejaVu Sans Condensed" w:cstheme="minorBidi"/>
              <w:b/>
              <w:sz w:val="24"/>
              <w:szCs w:val="24"/>
            </w:rPr>
            <w:t xml:space="preserve"> </w:t>
          </w:r>
          <w:proofErr w:type="spellStart"/>
          <w:r w:rsidRPr="00AA435A">
            <w:rPr>
              <w:rFonts w:ascii="DejaVu Sans Condensed" w:eastAsia="Courier New" w:hAnsi="DejaVu Sans Condensed" w:cstheme="minorBidi"/>
              <w:b/>
              <w:sz w:val="24"/>
              <w:szCs w:val="24"/>
            </w:rPr>
            <w:t>Accreditation</w:t>
          </w:r>
          <w:proofErr w:type="spellEnd"/>
          <w:r w:rsidRPr="00AA435A">
            <w:rPr>
              <w:rFonts w:ascii="DejaVu Sans Condensed" w:eastAsia="Courier New" w:hAnsi="DejaVu Sans Condensed" w:cstheme="minorBidi"/>
              <w:b/>
              <w:sz w:val="24"/>
              <w:szCs w:val="24"/>
            </w:rPr>
            <w:t xml:space="preserve"> </w:t>
          </w:r>
          <w:proofErr w:type="spellStart"/>
          <w:r w:rsidRPr="00AA435A">
            <w:rPr>
              <w:rFonts w:ascii="DejaVu Sans Condensed" w:eastAsia="Courier New" w:hAnsi="DejaVu Sans Condensed" w:cstheme="minorBidi"/>
              <w:b/>
              <w:sz w:val="24"/>
              <w:szCs w:val="24"/>
            </w:rPr>
            <w:t>Process</w:t>
          </w:r>
          <w:proofErr w:type="spellEnd"/>
        </w:p>
      </w:tc>
      <w:tc>
        <w:tcPr>
          <w:tcW w:w="1136" w:type="dxa"/>
        </w:tcPr>
        <w:p w:rsidR="00AA435A" w:rsidRPr="00AA435A" w:rsidRDefault="00AA435A" w:rsidP="00AA435A">
          <w:pPr>
            <w:tabs>
              <w:tab w:val="center" w:pos="4536"/>
              <w:tab w:val="right" w:pos="9072"/>
            </w:tabs>
            <w:adjustRightInd w:val="0"/>
            <w:jc w:val="center"/>
            <w:rPr>
              <w:rFonts w:ascii="Verdana" w:eastAsiaTheme="minorHAnsi" w:hAnsi="Verdana" w:cstheme="minorBidi"/>
              <w:b/>
              <w:sz w:val="16"/>
              <w:szCs w:val="16"/>
            </w:rPr>
          </w:pPr>
          <w:proofErr w:type="spellStart"/>
          <w:r w:rsidRPr="00AA435A">
            <w:rPr>
              <w:rFonts w:ascii="Verdana" w:eastAsiaTheme="minorHAnsi" w:hAnsi="Verdana" w:cstheme="minorBidi"/>
              <w:b/>
              <w:sz w:val="16"/>
              <w:szCs w:val="16"/>
            </w:rPr>
            <w:t>Document</w:t>
          </w:r>
          <w:proofErr w:type="spellEnd"/>
          <w:r w:rsidRPr="00AA435A">
            <w:rPr>
              <w:rFonts w:ascii="Verdana" w:eastAsiaTheme="minorHAnsi" w:hAnsi="Verdana" w:cstheme="minorBidi"/>
              <w:b/>
              <w:sz w:val="16"/>
              <w:szCs w:val="16"/>
            </w:rPr>
            <w:t xml:space="preserve"> No:</w:t>
          </w:r>
        </w:p>
      </w:tc>
      <w:tc>
        <w:tcPr>
          <w:tcW w:w="1366" w:type="dxa"/>
        </w:tcPr>
        <w:p w:rsidR="00AA435A" w:rsidRPr="00AA435A" w:rsidRDefault="00EA4E5C" w:rsidP="00AA435A">
          <w:pPr>
            <w:tabs>
              <w:tab w:val="center" w:pos="4536"/>
              <w:tab w:val="right" w:pos="9072"/>
            </w:tabs>
            <w:adjustRightInd w:val="0"/>
            <w:jc w:val="center"/>
            <w:rPr>
              <w:rFonts w:ascii="Verdana" w:eastAsiaTheme="minorHAnsi" w:hAnsi="Verdana" w:cstheme="minorBidi"/>
              <w:b/>
              <w:sz w:val="16"/>
              <w:szCs w:val="16"/>
            </w:rPr>
          </w:pPr>
          <w:r>
            <w:rPr>
              <w:rFonts w:ascii="Verdana" w:eastAsiaTheme="minorHAnsi" w:hAnsi="Verdana" w:cstheme="minorBidi"/>
              <w:b/>
              <w:sz w:val="16"/>
              <w:szCs w:val="16"/>
            </w:rPr>
            <w:t>IRNAC</w:t>
          </w:r>
          <w:r w:rsidR="00AA435A">
            <w:rPr>
              <w:rFonts w:ascii="Verdana" w:eastAsiaTheme="minorHAnsi" w:hAnsi="Verdana" w:cstheme="minorBidi"/>
              <w:b/>
              <w:sz w:val="16"/>
              <w:szCs w:val="16"/>
            </w:rPr>
            <w:t>-P</w:t>
          </w:r>
          <w:r w:rsidR="00AA435A" w:rsidRPr="00AA435A">
            <w:rPr>
              <w:rFonts w:ascii="Verdana" w:eastAsiaTheme="minorHAnsi" w:hAnsi="Verdana" w:cstheme="minorBidi"/>
              <w:b/>
              <w:sz w:val="16"/>
              <w:szCs w:val="16"/>
            </w:rPr>
            <w:t>-2</w:t>
          </w:r>
          <w:r w:rsidR="00AA435A">
            <w:rPr>
              <w:rFonts w:ascii="Verdana" w:eastAsiaTheme="minorHAnsi" w:hAnsi="Verdana" w:cstheme="minorBidi"/>
              <w:b/>
              <w:sz w:val="16"/>
              <w:szCs w:val="16"/>
            </w:rPr>
            <w:t>5</w:t>
          </w:r>
        </w:p>
        <w:p w:rsidR="00AA435A" w:rsidRPr="00AA435A" w:rsidRDefault="00AA435A" w:rsidP="00AA435A">
          <w:pPr>
            <w:tabs>
              <w:tab w:val="center" w:pos="4536"/>
              <w:tab w:val="right" w:pos="9072"/>
            </w:tabs>
            <w:adjustRightInd w:val="0"/>
            <w:rPr>
              <w:rFonts w:ascii="DejaVu Sans Condensed" w:eastAsia="Courier New" w:hAnsi="DejaVu Sans Condensed" w:cstheme="minorBidi"/>
              <w:b/>
              <w:sz w:val="32"/>
              <w:szCs w:val="32"/>
            </w:rPr>
          </w:pPr>
        </w:p>
      </w:tc>
    </w:tr>
    <w:tr w:rsidR="00AA435A" w:rsidRPr="00AA435A" w:rsidTr="00EA4E5C">
      <w:trPr>
        <w:trHeight w:val="144"/>
      </w:trPr>
      <w:tc>
        <w:tcPr>
          <w:tcW w:w="1844" w:type="dxa"/>
          <w:vMerge/>
        </w:tcPr>
        <w:p w:rsidR="00AA435A" w:rsidRPr="00AA435A" w:rsidRDefault="00AA435A" w:rsidP="00AA435A">
          <w:pPr>
            <w:tabs>
              <w:tab w:val="center" w:pos="4536"/>
              <w:tab w:val="right" w:pos="9072"/>
            </w:tabs>
            <w:adjustRightInd w:val="0"/>
            <w:rPr>
              <w:rFonts w:ascii="DejaVu Sans Condensed" w:eastAsia="Courier New" w:hAnsi="DejaVu Sans Condensed" w:cstheme="minorBidi"/>
              <w:b/>
              <w:sz w:val="32"/>
              <w:szCs w:val="32"/>
            </w:rPr>
          </w:pPr>
        </w:p>
      </w:tc>
      <w:tc>
        <w:tcPr>
          <w:tcW w:w="5260" w:type="dxa"/>
          <w:vMerge/>
        </w:tcPr>
        <w:p w:rsidR="00AA435A" w:rsidRPr="00AA435A" w:rsidRDefault="00AA435A" w:rsidP="00AA435A">
          <w:pPr>
            <w:tabs>
              <w:tab w:val="center" w:pos="4536"/>
              <w:tab w:val="right" w:pos="9072"/>
            </w:tabs>
            <w:adjustRightInd w:val="0"/>
            <w:jc w:val="center"/>
            <w:rPr>
              <w:rFonts w:ascii="Verdana" w:eastAsiaTheme="minorHAnsi" w:hAnsi="Verdana" w:cstheme="minorBidi"/>
              <w:b/>
              <w:sz w:val="24"/>
              <w:szCs w:val="24"/>
            </w:rPr>
          </w:pPr>
        </w:p>
      </w:tc>
      <w:tc>
        <w:tcPr>
          <w:tcW w:w="1136" w:type="dxa"/>
        </w:tcPr>
        <w:p w:rsidR="00AA435A" w:rsidRPr="00AA435A" w:rsidRDefault="00AA435A" w:rsidP="00AA435A">
          <w:pPr>
            <w:tabs>
              <w:tab w:val="center" w:pos="4536"/>
              <w:tab w:val="right" w:pos="9072"/>
            </w:tabs>
            <w:adjustRightInd w:val="0"/>
            <w:jc w:val="center"/>
            <w:rPr>
              <w:rFonts w:ascii="Verdana" w:eastAsiaTheme="minorHAnsi" w:hAnsi="Verdana" w:cstheme="minorBidi"/>
              <w:b/>
              <w:sz w:val="16"/>
              <w:szCs w:val="16"/>
            </w:rPr>
          </w:pPr>
          <w:proofErr w:type="spellStart"/>
          <w:r w:rsidRPr="00AA435A">
            <w:rPr>
              <w:rFonts w:ascii="Verdana" w:eastAsiaTheme="minorHAnsi" w:hAnsi="Verdana" w:cstheme="minorBidi"/>
              <w:b/>
              <w:sz w:val="16"/>
              <w:szCs w:val="16"/>
            </w:rPr>
            <w:t>Release</w:t>
          </w:r>
          <w:proofErr w:type="spellEnd"/>
          <w:r w:rsidRPr="00AA435A">
            <w:rPr>
              <w:rFonts w:ascii="Verdana" w:eastAsiaTheme="minorHAnsi" w:hAnsi="Verdana" w:cstheme="minorBidi"/>
              <w:b/>
              <w:sz w:val="16"/>
              <w:szCs w:val="16"/>
            </w:rPr>
            <w:t xml:space="preserve"> </w:t>
          </w:r>
          <w:proofErr w:type="spellStart"/>
          <w:r w:rsidRPr="00AA435A">
            <w:rPr>
              <w:rFonts w:ascii="Verdana" w:eastAsiaTheme="minorHAnsi" w:hAnsi="Verdana" w:cstheme="minorBidi"/>
              <w:b/>
              <w:sz w:val="16"/>
              <w:szCs w:val="16"/>
            </w:rPr>
            <w:t>Date</w:t>
          </w:r>
          <w:proofErr w:type="spellEnd"/>
          <w:r w:rsidRPr="00AA435A">
            <w:rPr>
              <w:rFonts w:ascii="Verdana" w:eastAsiaTheme="minorHAnsi" w:hAnsi="Verdana" w:cstheme="minorBidi"/>
              <w:b/>
              <w:sz w:val="16"/>
              <w:szCs w:val="16"/>
            </w:rPr>
            <w:t>:</w:t>
          </w:r>
        </w:p>
      </w:tc>
      <w:tc>
        <w:tcPr>
          <w:tcW w:w="1366" w:type="dxa"/>
        </w:tcPr>
        <w:p w:rsidR="00AA435A" w:rsidRPr="00AA435A" w:rsidRDefault="00EA4E5C" w:rsidP="00AA435A">
          <w:pPr>
            <w:tabs>
              <w:tab w:val="center" w:pos="4536"/>
              <w:tab w:val="right" w:pos="9072"/>
            </w:tabs>
            <w:adjustRightInd w:val="0"/>
            <w:jc w:val="center"/>
            <w:rPr>
              <w:rFonts w:ascii="DejaVu Sans Condensed" w:eastAsia="Courier New" w:hAnsi="DejaVu Sans Condensed" w:cstheme="minorBidi"/>
              <w:b/>
              <w:sz w:val="32"/>
              <w:szCs w:val="32"/>
            </w:rPr>
          </w:pPr>
          <w:r>
            <w:rPr>
              <w:rFonts w:ascii="Verdana" w:eastAsiaTheme="minorHAnsi" w:hAnsi="Verdana" w:cstheme="minorBidi"/>
              <w:b/>
              <w:sz w:val="16"/>
              <w:szCs w:val="16"/>
            </w:rPr>
            <w:t>01/04/2023</w:t>
          </w:r>
        </w:p>
      </w:tc>
    </w:tr>
    <w:tr w:rsidR="00AA435A" w:rsidRPr="00AA435A" w:rsidTr="00EA4E5C">
      <w:trPr>
        <w:trHeight w:val="253"/>
      </w:trPr>
      <w:tc>
        <w:tcPr>
          <w:tcW w:w="1844" w:type="dxa"/>
          <w:vMerge/>
        </w:tcPr>
        <w:p w:rsidR="00AA435A" w:rsidRPr="00AA435A" w:rsidRDefault="00AA435A" w:rsidP="00AA435A">
          <w:pPr>
            <w:tabs>
              <w:tab w:val="center" w:pos="4536"/>
              <w:tab w:val="right" w:pos="9072"/>
            </w:tabs>
            <w:adjustRightInd w:val="0"/>
            <w:rPr>
              <w:rFonts w:ascii="DejaVu Sans Condensed" w:eastAsia="Courier New" w:hAnsi="DejaVu Sans Condensed" w:cstheme="minorBidi"/>
              <w:b/>
              <w:sz w:val="32"/>
              <w:szCs w:val="32"/>
            </w:rPr>
          </w:pPr>
        </w:p>
      </w:tc>
      <w:tc>
        <w:tcPr>
          <w:tcW w:w="5260" w:type="dxa"/>
          <w:vMerge/>
        </w:tcPr>
        <w:p w:rsidR="00AA435A" w:rsidRPr="00AA435A" w:rsidRDefault="00AA435A" w:rsidP="00AA435A">
          <w:pPr>
            <w:tabs>
              <w:tab w:val="center" w:pos="4536"/>
              <w:tab w:val="right" w:pos="9072"/>
            </w:tabs>
            <w:adjustRightInd w:val="0"/>
            <w:jc w:val="center"/>
            <w:rPr>
              <w:rFonts w:ascii="Verdana" w:eastAsiaTheme="minorHAnsi" w:hAnsi="Verdana" w:cstheme="minorBidi"/>
              <w:b/>
              <w:sz w:val="24"/>
              <w:szCs w:val="24"/>
            </w:rPr>
          </w:pPr>
        </w:p>
      </w:tc>
      <w:tc>
        <w:tcPr>
          <w:tcW w:w="1136" w:type="dxa"/>
        </w:tcPr>
        <w:p w:rsidR="00AA435A" w:rsidRPr="00AA435A" w:rsidRDefault="00AA435A" w:rsidP="00AA435A">
          <w:pPr>
            <w:tabs>
              <w:tab w:val="center" w:pos="4536"/>
              <w:tab w:val="right" w:pos="9072"/>
            </w:tabs>
            <w:adjustRightInd w:val="0"/>
            <w:jc w:val="center"/>
            <w:rPr>
              <w:rFonts w:ascii="Verdana" w:eastAsiaTheme="minorHAnsi" w:hAnsi="Verdana" w:cstheme="minorBidi"/>
              <w:b/>
              <w:sz w:val="16"/>
              <w:szCs w:val="16"/>
            </w:rPr>
          </w:pPr>
          <w:proofErr w:type="spellStart"/>
          <w:r w:rsidRPr="00AA435A">
            <w:rPr>
              <w:rFonts w:ascii="Verdana" w:eastAsiaTheme="minorHAnsi" w:hAnsi="Verdana" w:cstheme="minorBidi"/>
              <w:b/>
              <w:sz w:val="16"/>
              <w:szCs w:val="16"/>
            </w:rPr>
            <w:t>Rev</w:t>
          </w:r>
          <w:proofErr w:type="spellEnd"/>
          <w:r w:rsidRPr="00AA435A">
            <w:rPr>
              <w:rFonts w:ascii="Verdana" w:eastAsiaTheme="minorHAnsi" w:hAnsi="Verdana" w:cstheme="minorBidi"/>
              <w:b/>
              <w:sz w:val="16"/>
              <w:szCs w:val="16"/>
            </w:rPr>
            <w:t xml:space="preserve"> </w:t>
          </w:r>
          <w:proofErr w:type="spellStart"/>
          <w:r w:rsidRPr="00AA435A">
            <w:rPr>
              <w:rFonts w:ascii="Verdana" w:eastAsiaTheme="minorHAnsi" w:hAnsi="Verdana" w:cstheme="minorBidi"/>
              <w:b/>
              <w:sz w:val="16"/>
              <w:szCs w:val="16"/>
            </w:rPr>
            <w:t>Date</w:t>
          </w:r>
          <w:proofErr w:type="spellEnd"/>
          <w:r w:rsidRPr="00AA435A">
            <w:rPr>
              <w:rFonts w:ascii="Verdana" w:eastAsiaTheme="minorHAnsi" w:hAnsi="Verdana" w:cstheme="minorBidi"/>
              <w:b/>
              <w:sz w:val="16"/>
              <w:szCs w:val="16"/>
            </w:rPr>
            <w:t xml:space="preserve"> / No:</w:t>
          </w:r>
        </w:p>
      </w:tc>
      <w:tc>
        <w:tcPr>
          <w:tcW w:w="1366" w:type="dxa"/>
        </w:tcPr>
        <w:p w:rsidR="00AA435A" w:rsidRPr="00AA435A" w:rsidRDefault="00AA435A" w:rsidP="00AA435A">
          <w:pPr>
            <w:tabs>
              <w:tab w:val="center" w:pos="4536"/>
              <w:tab w:val="right" w:pos="9072"/>
            </w:tabs>
            <w:adjustRightInd w:val="0"/>
            <w:jc w:val="center"/>
            <w:rPr>
              <w:rFonts w:ascii="DejaVu Sans Condensed" w:eastAsia="Courier New" w:hAnsi="DejaVu Sans Condensed" w:cstheme="minorBidi"/>
              <w:b/>
              <w:sz w:val="32"/>
              <w:szCs w:val="32"/>
            </w:rPr>
          </w:pPr>
          <w:r w:rsidRPr="00AA435A">
            <w:rPr>
              <w:rFonts w:ascii="DejaVu Sans Condensed" w:eastAsia="Courier New" w:hAnsi="DejaVu Sans Condensed" w:cstheme="minorBidi"/>
              <w:b/>
              <w:sz w:val="32"/>
              <w:szCs w:val="32"/>
            </w:rPr>
            <w:t>0</w:t>
          </w:r>
        </w:p>
      </w:tc>
    </w:tr>
    <w:tr w:rsidR="00AA435A" w:rsidRPr="00AA435A" w:rsidTr="00EA4E5C">
      <w:trPr>
        <w:trHeight w:val="253"/>
      </w:trPr>
      <w:tc>
        <w:tcPr>
          <w:tcW w:w="1844" w:type="dxa"/>
          <w:vMerge/>
        </w:tcPr>
        <w:p w:rsidR="00AA435A" w:rsidRPr="00AA435A" w:rsidRDefault="00AA435A" w:rsidP="00AA435A">
          <w:pPr>
            <w:tabs>
              <w:tab w:val="center" w:pos="4536"/>
              <w:tab w:val="right" w:pos="9072"/>
            </w:tabs>
            <w:adjustRightInd w:val="0"/>
            <w:rPr>
              <w:rFonts w:ascii="DejaVu Sans Condensed" w:eastAsia="Courier New" w:hAnsi="DejaVu Sans Condensed" w:cstheme="minorBidi"/>
              <w:b/>
              <w:sz w:val="32"/>
              <w:szCs w:val="32"/>
            </w:rPr>
          </w:pPr>
        </w:p>
      </w:tc>
      <w:tc>
        <w:tcPr>
          <w:tcW w:w="5260" w:type="dxa"/>
          <w:vMerge/>
        </w:tcPr>
        <w:p w:rsidR="00AA435A" w:rsidRPr="00AA435A" w:rsidRDefault="00AA435A" w:rsidP="00AA435A">
          <w:pPr>
            <w:tabs>
              <w:tab w:val="center" w:pos="4536"/>
              <w:tab w:val="right" w:pos="9072"/>
            </w:tabs>
            <w:adjustRightInd w:val="0"/>
            <w:jc w:val="center"/>
            <w:rPr>
              <w:rFonts w:ascii="Verdana" w:eastAsiaTheme="minorHAnsi" w:hAnsi="Verdana" w:cstheme="minorBidi"/>
              <w:b/>
              <w:sz w:val="24"/>
              <w:szCs w:val="24"/>
            </w:rPr>
          </w:pPr>
        </w:p>
      </w:tc>
      <w:tc>
        <w:tcPr>
          <w:tcW w:w="1136" w:type="dxa"/>
        </w:tcPr>
        <w:p w:rsidR="00AA435A" w:rsidRPr="00AA435A" w:rsidRDefault="00AA435A" w:rsidP="00AA435A">
          <w:pPr>
            <w:tabs>
              <w:tab w:val="center" w:pos="4536"/>
              <w:tab w:val="right" w:pos="9072"/>
            </w:tabs>
            <w:adjustRightInd w:val="0"/>
            <w:jc w:val="center"/>
            <w:rPr>
              <w:rFonts w:ascii="Verdana" w:eastAsiaTheme="minorHAnsi" w:hAnsi="Verdana" w:cstheme="minorBidi"/>
              <w:b/>
              <w:sz w:val="16"/>
              <w:szCs w:val="16"/>
            </w:rPr>
          </w:pPr>
        </w:p>
      </w:tc>
      <w:tc>
        <w:tcPr>
          <w:tcW w:w="1366" w:type="dxa"/>
        </w:tcPr>
        <w:p w:rsidR="00AA435A" w:rsidRPr="00AA435A" w:rsidRDefault="00AA435A" w:rsidP="00AA435A">
          <w:pPr>
            <w:tabs>
              <w:tab w:val="center" w:pos="4536"/>
              <w:tab w:val="right" w:pos="9072"/>
            </w:tabs>
            <w:adjustRightInd w:val="0"/>
            <w:rPr>
              <w:rFonts w:ascii="DejaVu Sans Condensed" w:eastAsia="Courier New" w:hAnsi="DejaVu Sans Condensed" w:cstheme="minorBidi"/>
              <w:b/>
              <w:sz w:val="32"/>
              <w:szCs w:val="32"/>
            </w:rPr>
          </w:pPr>
        </w:p>
      </w:tc>
    </w:tr>
  </w:tbl>
  <w:p w:rsidR="00BE7C62" w:rsidRDefault="00BE7C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54"/>
    <w:rsid w:val="00001071"/>
    <w:rsid w:val="00003880"/>
    <w:rsid w:val="000243D2"/>
    <w:rsid w:val="000364AE"/>
    <w:rsid w:val="00042BE3"/>
    <w:rsid w:val="0004579E"/>
    <w:rsid w:val="0007150C"/>
    <w:rsid w:val="0007256C"/>
    <w:rsid w:val="00074111"/>
    <w:rsid w:val="000D1582"/>
    <w:rsid w:val="000D26DB"/>
    <w:rsid w:val="000D2AEE"/>
    <w:rsid w:val="001504AD"/>
    <w:rsid w:val="00183585"/>
    <w:rsid w:val="001A0084"/>
    <w:rsid w:val="001A7CC3"/>
    <w:rsid w:val="001B20C5"/>
    <w:rsid w:val="001B3AE0"/>
    <w:rsid w:val="001B41FC"/>
    <w:rsid w:val="001D0A8E"/>
    <w:rsid w:val="001D58B8"/>
    <w:rsid w:val="00206924"/>
    <w:rsid w:val="00215FE7"/>
    <w:rsid w:val="002410DC"/>
    <w:rsid w:val="002717F6"/>
    <w:rsid w:val="002A6687"/>
    <w:rsid w:val="002C4278"/>
    <w:rsid w:val="002F5F3D"/>
    <w:rsid w:val="003175A2"/>
    <w:rsid w:val="00322B54"/>
    <w:rsid w:val="003569F2"/>
    <w:rsid w:val="00362191"/>
    <w:rsid w:val="00363112"/>
    <w:rsid w:val="00376795"/>
    <w:rsid w:val="00377EB7"/>
    <w:rsid w:val="00381B9B"/>
    <w:rsid w:val="003A2E88"/>
    <w:rsid w:val="003E2BBE"/>
    <w:rsid w:val="00404DBE"/>
    <w:rsid w:val="00410A85"/>
    <w:rsid w:val="00415CCA"/>
    <w:rsid w:val="00426DBD"/>
    <w:rsid w:val="00433A9A"/>
    <w:rsid w:val="004B4E4D"/>
    <w:rsid w:val="004D1EB5"/>
    <w:rsid w:val="004F2425"/>
    <w:rsid w:val="00511B84"/>
    <w:rsid w:val="00516670"/>
    <w:rsid w:val="00543AE5"/>
    <w:rsid w:val="0057525C"/>
    <w:rsid w:val="005A586B"/>
    <w:rsid w:val="005A70C9"/>
    <w:rsid w:val="005B4826"/>
    <w:rsid w:val="005D6EB6"/>
    <w:rsid w:val="005E5BFB"/>
    <w:rsid w:val="005E6BA6"/>
    <w:rsid w:val="006576DF"/>
    <w:rsid w:val="00657F23"/>
    <w:rsid w:val="006624F5"/>
    <w:rsid w:val="00686DC5"/>
    <w:rsid w:val="006A13DA"/>
    <w:rsid w:val="006B24E1"/>
    <w:rsid w:val="006B4706"/>
    <w:rsid w:val="006C1189"/>
    <w:rsid w:val="006F0ACF"/>
    <w:rsid w:val="0071467A"/>
    <w:rsid w:val="0072256E"/>
    <w:rsid w:val="00727C88"/>
    <w:rsid w:val="00740AE4"/>
    <w:rsid w:val="007424E0"/>
    <w:rsid w:val="0075513B"/>
    <w:rsid w:val="00770C11"/>
    <w:rsid w:val="00793368"/>
    <w:rsid w:val="007C0E8E"/>
    <w:rsid w:val="007C4FCC"/>
    <w:rsid w:val="007D7A64"/>
    <w:rsid w:val="007F621B"/>
    <w:rsid w:val="008503FC"/>
    <w:rsid w:val="0085549E"/>
    <w:rsid w:val="00855814"/>
    <w:rsid w:val="00881315"/>
    <w:rsid w:val="00883929"/>
    <w:rsid w:val="008B1CC6"/>
    <w:rsid w:val="008C104D"/>
    <w:rsid w:val="008D3BBB"/>
    <w:rsid w:val="00922717"/>
    <w:rsid w:val="00942E73"/>
    <w:rsid w:val="00943FF0"/>
    <w:rsid w:val="00976E00"/>
    <w:rsid w:val="00986D14"/>
    <w:rsid w:val="009940ED"/>
    <w:rsid w:val="009954D5"/>
    <w:rsid w:val="009D3B97"/>
    <w:rsid w:val="00A16A48"/>
    <w:rsid w:val="00A31BBC"/>
    <w:rsid w:val="00A32090"/>
    <w:rsid w:val="00A37DD5"/>
    <w:rsid w:val="00A54723"/>
    <w:rsid w:val="00A5512F"/>
    <w:rsid w:val="00A754F8"/>
    <w:rsid w:val="00A87A90"/>
    <w:rsid w:val="00A87DC0"/>
    <w:rsid w:val="00AA0E53"/>
    <w:rsid w:val="00AA4117"/>
    <w:rsid w:val="00AA435A"/>
    <w:rsid w:val="00AB052E"/>
    <w:rsid w:val="00AB451A"/>
    <w:rsid w:val="00AE6D96"/>
    <w:rsid w:val="00AE6FFF"/>
    <w:rsid w:val="00B07F7F"/>
    <w:rsid w:val="00B24A5F"/>
    <w:rsid w:val="00B25D68"/>
    <w:rsid w:val="00B27F55"/>
    <w:rsid w:val="00B31211"/>
    <w:rsid w:val="00B42782"/>
    <w:rsid w:val="00B95AFB"/>
    <w:rsid w:val="00BA3257"/>
    <w:rsid w:val="00BB6718"/>
    <w:rsid w:val="00BC3992"/>
    <w:rsid w:val="00BE7C62"/>
    <w:rsid w:val="00BF4486"/>
    <w:rsid w:val="00C3556F"/>
    <w:rsid w:val="00C360CA"/>
    <w:rsid w:val="00C61B61"/>
    <w:rsid w:val="00C8795B"/>
    <w:rsid w:val="00C90E4C"/>
    <w:rsid w:val="00C930ED"/>
    <w:rsid w:val="00C97DFF"/>
    <w:rsid w:val="00CA4783"/>
    <w:rsid w:val="00CB2D99"/>
    <w:rsid w:val="00CB3160"/>
    <w:rsid w:val="00CF15CF"/>
    <w:rsid w:val="00D05AA1"/>
    <w:rsid w:val="00D52D60"/>
    <w:rsid w:val="00D73113"/>
    <w:rsid w:val="00D743E7"/>
    <w:rsid w:val="00D84AF3"/>
    <w:rsid w:val="00D93BF6"/>
    <w:rsid w:val="00DC254A"/>
    <w:rsid w:val="00DC7F51"/>
    <w:rsid w:val="00DE1AD8"/>
    <w:rsid w:val="00E27845"/>
    <w:rsid w:val="00E3182B"/>
    <w:rsid w:val="00E370EE"/>
    <w:rsid w:val="00E42FC3"/>
    <w:rsid w:val="00E556C7"/>
    <w:rsid w:val="00E705A7"/>
    <w:rsid w:val="00E74016"/>
    <w:rsid w:val="00E7789C"/>
    <w:rsid w:val="00EA4E5C"/>
    <w:rsid w:val="00EC78C0"/>
    <w:rsid w:val="00EF6E6A"/>
    <w:rsid w:val="00F037E0"/>
    <w:rsid w:val="00F11D46"/>
    <w:rsid w:val="00F313BB"/>
    <w:rsid w:val="00F56FC3"/>
    <w:rsid w:val="00F60FE5"/>
    <w:rsid w:val="00F66F2F"/>
    <w:rsid w:val="00F73FF3"/>
    <w:rsid w:val="00F75866"/>
    <w:rsid w:val="00F83B37"/>
    <w:rsid w:val="00FA365E"/>
    <w:rsid w:val="00FC3AEF"/>
    <w:rsid w:val="00FC788B"/>
    <w:rsid w:val="00FD29D9"/>
    <w:rsid w:val="00FD4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A9C0"/>
  <w15:docId w15:val="{003C8638-FAD4-404A-9BD9-4D205CBF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2B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2B54"/>
  </w:style>
  <w:style w:type="paragraph" w:styleId="AltBilgi">
    <w:name w:val="footer"/>
    <w:basedOn w:val="Normal"/>
    <w:link w:val="AltBilgiChar"/>
    <w:uiPriority w:val="99"/>
    <w:unhideWhenUsed/>
    <w:rsid w:val="00322B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2B54"/>
  </w:style>
  <w:style w:type="table" w:styleId="TabloKlavuzu">
    <w:name w:val="Table Grid"/>
    <w:basedOn w:val="NormalTablo"/>
    <w:uiPriority w:val="59"/>
    <w:rsid w:val="00322B5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B54"/>
    <w:rPr>
      <w:rFonts w:ascii="Tahoma" w:hAnsi="Tahoma" w:cs="Tahoma"/>
      <w:sz w:val="16"/>
      <w:szCs w:val="16"/>
    </w:rPr>
  </w:style>
  <w:style w:type="table" w:customStyle="1" w:styleId="TableNormal">
    <w:name w:val="Table Normal"/>
    <w:uiPriority w:val="2"/>
    <w:semiHidden/>
    <w:unhideWhenUsed/>
    <w:qFormat/>
    <w:rsid w:val="00E778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89C"/>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2023-09-27T14:47:00Z</dcterms:created>
  <dcterms:modified xsi:type="dcterms:W3CDTF">2023-09-27T14:47:00Z</dcterms:modified>
</cp:coreProperties>
</file>